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EF" w:rsidRDefault="00E418E3">
      <w:pPr>
        <w:ind w:right="-142"/>
        <w:jc w:val="center"/>
        <w:rPr>
          <w:b/>
          <w:sz w:val="28"/>
          <w:szCs w:val="28"/>
          <w:lang w:val="pt-BR"/>
        </w:rPr>
      </w:pPr>
      <w:bookmarkStart w:id="0" w:name="_Hlk488226385"/>
      <w:bookmarkStart w:id="1" w:name="_GoBack"/>
      <w:bookmarkEnd w:id="1"/>
      <w:r>
        <w:rPr>
          <w:b/>
          <w:sz w:val="28"/>
          <w:szCs w:val="28"/>
          <w:lang w:val="pt-BR"/>
        </w:rPr>
        <w:t>Interfaces curr</w:t>
      </w:r>
      <w:r w:rsidR="00A85E3F">
        <w:rPr>
          <w:b/>
          <w:sz w:val="28"/>
          <w:szCs w:val="28"/>
          <w:lang w:val="pt-BR"/>
        </w:rPr>
        <w:t>iculares</w:t>
      </w:r>
      <w:r>
        <w:rPr>
          <w:b/>
          <w:sz w:val="28"/>
          <w:szCs w:val="28"/>
          <w:lang w:val="pt-BR"/>
        </w:rPr>
        <w:t xml:space="preserve"> na graduação para efetivação da educação em direitos humanos</w:t>
      </w:r>
      <w:bookmarkEnd w:id="0"/>
      <w:r>
        <w:rPr>
          <w:rStyle w:val="Refdenotaderodap"/>
          <w:b/>
          <w:sz w:val="28"/>
          <w:szCs w:val="28"/>
          <w:vertAlign w:val="baseline"/>
          <w:lang w:val="pt-BR"/>
        </w:rPr>
        <w:t xml:space="preserve"> </w:t>
      </w:r>
      <w:r>
        <w:rPr>
          <w:rStyle w:val="ncoradanotaderodap"/>
          <w:b/>
          <w:sz w:val="28"/>
          <w:szCs w:val="28"/>
          <w:vertAlign w:val="baseline"/>
          <w:lang w:val="pt-BR"/>
        </w:rPr>
        <w:footnoteReference w:id="1"/>
      </w:r>
    </w:p>
    <w:p w:rsidR="000F62EF" w:rsidRDefault="000F62EF">
      <w:pPr>
        <w:ind w:right="-142"/>
        <w:jc w:val="center"/>
        <w:rPr>
          <w:b/>
          <w:szCs w:val="24"/>
          <w:lang w:val="pt-BR"/>
        </w:rPr>
      </w:pPr>
    </w:p>
    <w:p w:rsidR="000F62EF" w:rsidRDefault="00E418E3">
      <w:pPr>
        <w:ind w:right="-142"/>
        <w:jc w:val="center"/>
        <w:rPr>
          <w:i/>
          <w:szCs w:val="24"/>
          <w:lang w:val="en-US"/>
        </w:rPr>
      </w:pPr>
      <w:r w:rsidRPr="00650EF6">
        <w:rPr>
          <w:i/>
          <w:szCs w:val="24"/>
          <w:lang w:val="en-US"/>
        </w:rPr>
        <w:t>Curriculum interfaces at the undergraduate for the effectuation of human rights education</w:t>
      </w:r>
    </w:p>
    <w:p w:rsidR="000F62EF" w:rsidRDefault="000F62EF">
      <w:pPr>
        <w:jc w:val="center"/>
        <w:rPr>
          <w:szCs w:val="24"/>
          <w:lang w:val="en-US"/>
        </w:rPr>
      </w:pPr>
    </w:p>
    <w:p w:rsidR="000F62EF" w:rsidRDefault="00E418E3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>Ana Maria Eyng</w:t>
      </w:r>
    </w:p>
    <w:p w:rsidR="000F62EF" w:rsidRDefault="00E418E3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Professora titular da </w:t>
      </w:r>
      <w:r w:rsidR="00573CA1">
        <w:rPr>
          <w:szCs w:val="24"/>
          <w:lang w:val="pt-BR"/>
        </w:rPr>
        <w:t>PPGE/</w:t>
      </w:r>
      <w:r>
        <w:rPr>
          <w:szCs w:val="24"/>
          <w:lang w:val="pt-BR"/>
        </w:rPr>
        <w:t>PUCPR. Doutora em Educação.</w:t>
      </w:r>
    </w:p>
    <w:p w:rsidR="000F62EF" w:rsidRDefault="00E418E3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Pontifícia Universidade Católica do Paraná (PUCPR), Curitiba, PR, Brasil. </w:t>
      </w:r>
    </w:p>
    <w:p w:rsidR="000F62EF" w:rsidRDefault="00E418E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Email: eyng.anamaria@gmail.com</w:t>
      </w:r>
    </w:p>
    <w:p w:rsidR="00E60B2B" w:rsidRDefault="00E60B2B">
      <w:pPr>
        <w:jc w:val="center"/>
        <w:rPr>
          <w:szCs w:val="24"/>
          <w:lang w:val="en-US"/>
        </w:rPr>
      </w:pPr>
    </w:p>
    <w:p w:rsidR="00A85E3F" w:rsidRDefault="00A85E3F" w:rsidP="00650EF6">
      <w:pPr>
        <w:jc w:val="center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Marizete</w:t>
      </w:r>
      <w:proofErr w:type="spellEnd"/>
      <w:r>
        <w:rPr>
          <w:szCs w:val="24"/>
          <w:lang w:val="en-US"/>
        </w:rPr>
        <w:t xml:space="preserve"> Santana </w:t>
      </w:r>
      <w:r w:rsidR="00E60B2B">
        <w:rPr>
          <w:szCs w:val="24"/>
          <w:lang w:val="en-US"/>
        </w:rPr>
        <w:t xml:space="preserve">dos </w:t>
      </w:r>
      <w:r>
        <w:rPr>
          <w:szCs w:val="24"/>
          <w:lang w:val="en-US"/>
        </w:rPr>
        <w:t xml:space="preserve">Santos </w:t>
      </w:r>
    </w:p>
    <w:p w:rsidR="00E60B2B" w:rsidRDefault="00E60B2B" w:rsidP="00650EF6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 xml:space="preserve">Mestre em Educação </w:t>
      </w:r>
    </w:p>
    <w:p w:rsidR="00E60B2B" w:rsidRPr="00AD3054" w:rsidRDefault="00E60B2B" w:rsidP="00650EF6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Email:</w:t>
      </w:r>
      <w:r w:rsidRPr="00AD3054">
        <w:rPr>
          <w:rFonts w:cs="Arial"/>
          <w:szCs w:val="24"/>
        </w:rPr>
        <w:t xml:space="preserve"> </w:t>
      </w:r>
      <w:hyperlink r:id="rId7" w:history="1">
        <w:r w:rsidRPr="00AD3054">
          <w:rPr>
            <w:rStyle w:val="Hyperlink"/>
            <w:rFonts w:cs="Arial"/>
          </w:rPr>
          <w:t>marizete23@yahoo.com.br</w:t>
        </w:r>
      </w:hyperlink>
    </w:p>
    <w:p w:rsidR="00650EF6" w:rsidRDefault="00650EF6" w:rsidP="00650EF6">
      <w:pPr>
        <w:jc w:val="center"/>
        <w:rPr>
          <w:rFonts w:cs="Arial"/>
          <w:szCs w:val="24"/>
        </w:rPr>
      </w:pPr>
    </w:p>
    <w:p w:rsidR="00E60B2B" w:rsidRDefault="00E60B2B" w:rsidP="00650EF6">
      <w:pPr>
        <w:jc w:val="center"/>
        <w:rPr>
          <w:rFonts w:cs="Arial"/>
          <w:szCs w:val="24"/>
        </w:rPr>
      </w:pPr>
      <w:r w:rsidRPr="00AD3054">
        <w:rPr>
          <w:rFonts w:cs="Arial"/>
          <w:szCs w:val="24"/>
        </w:rPr>
        <w:t xml:space="preserve">Paulinho Vogel </w:t>
      </w:r>
    </w:p>
    <w:p w:rsidR="00573CA1" w:rsidRDefault="00573CA1" w:rsidP="00650EF6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Mestre em Educação</w:t>
      </w:r>
    </w:p>
    <w:p w:rsidR="00E60B2B" w:rsidRPr="00AD3054" w:rsidRDefault="00573CA1" w:rsidP="00650EF6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Email:</w:t>
      </w:r>
      <w:r w:rsidR="00E60B2B" w:rsidRPr="00AD3054">
        <w:rPr>
          <w:rFonts w:cs="Arial"/>
          <w:szCs w:val="24"/>
        </w:rPr>
        <w:t xml:space="preserve"> </w:t>
      </w:r>
      <w:hyperlink r:id="rId8" w:history="1">
        <w:r w:rsidR="00E60B2B" w:rsidRPr="00AD3054">
          <w:rPr>
            <w:rStyle w:val="Hyperlink"/>
            <w:rFonts w:cs="Arial"/>
          </w:rPr>
          <w:t>paulinhovogel@hotmail.com</w:t>
        </w:r>
      </w:hyperlink>
    </w:p>
    <w:p w:rsidR="00E60B2B" w:rsidRDefault="00E60B2B">
      <w:pPr>
        <w:jc w:val="center"/>
        <w:rPr>
          <w:szCs w:val="24"/>
          <w:lang w:val="en-US"/>
        </w:rPr>
      </w:pPr>
    </w:p>
    <w:p w:rsidR="000F62EF" w:rsidRDefault="000F62EF">
      <w:pPr>
        <w:spacing w:line="240" w:lineRule="auto"/>
        <w:jc w:val="both"/>
        <w:rPr>
          <w:b/>
          <w:szCs w:val="24"/>
          <w:lang w:val="en-US"/>
        </w:rPr>
      </w:pPr>
    </w:p>
    <w:p w:rsidR="000F62EF" w:rsidRDefault="00E418E3">
      <w:pPr>
        <w:spacing w:line="240" w:lineRule="auto"/>
        <w:jc w:val="both"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Resumo</w:t>
      </w:r>
      <w:proofErr w:type="spellEnd"/>
    </w:p>
    <w:p w:rsidR="000F62EF" w:rsidRDefault="000F62EF">
      <w:pPr>
        <w:spacing w:line="240" w:lineRule="auto"/>
        <w:jc w:val="both"/>
        <w:rPr>
          <w:b/>
          <w:szCs w:val="24"/>
          <w:lang w:val="en-US"/>
        </w:rPr>
      </w:pPr>
    </w:p>
    <w:p w:rsidR="000F62EF" w:rsidRDefault="00E418E3">
      <w:pPr>
        <w:spacing w:line="240" w:lineRule="auto"/>
        <w:jc w:val="both"/>
      </w:pPr>
      <w:r>
        <w:rPr>
          <w:szCs w:val="24"/>
          <w:lang w:val="pt-BR"/>
        </w:rPr>
        <w:t xml:space="preserve">O trabalho de investigação que relatamos tem como objetivo discutir as tensões que incidem na configuração identitária nos currículos na educação superior, estabelecendo diálogos entre as políticas públicas, os direitos humanos e as juventudes no currículo. A análise, com ênfase nos direitos humanos, contempla referenciais das políticas aliados aos argumentos de Bobbio (2004); </w:t>
      </w:r>
      <w:proofErr w:type="spellStart"/>
      <w:r>
        <w:rPr>
          <w:szCs w:val="24"/>
          <w:lang w:val="pt-BR"/>
        </w:rPr>
        <w:t>Candau</w:t>
      </w:r>
      <w:proofErr w:type="spellEnd"/>
      <w:r>
        <w:rPr>
          <w:szCs w:val="24"/>
          <w:lang w:val="pt-BR"/>
        </w:rPr>
        <w:t xml:space="preserve"> et al (2013), Eyng (2014) e Santos (2010), em diálogo com as percepções de estudantes de 15 cursos da educação superior, situam as contradições epistemológicas e contemporâneas que subsidiam a reflexão sobre as forças definidoras das faces do currículo. Os resultados do estudo permitem destacar a ambígua fragilidade da inserção da educação em direitos humanos nos currículos diante da esmagadora força dos índices. A inclusão da educação em direitos humanos nos Projetos de curso ainda é muito pontual, mas atende a exigência do requisito legal do que expressa uma concepção pedagógica. Nesse cenário, a educação superior mais reforça a exclusão, a desigualdade pelos valores da competição e do individualismo do que a inclusão via diálogo com a igualdade e a diferença que constituem a diversidade que supõe o exercício dos valores da dignidade e da solidariedade.</w:t>
      </w:r>
    </w:p>
    <w:p w:rsidR="000F62EF" w:rsidRDefault="000F62EF">
      <w:pPr>
        <w:spacing w:line="240" w:lineRule="auto"/>
        <w:jc w:val="both"/>
        <w:rPr>
          <w:szCs w:val="24"/>
          <w:lang w:val="pt-BR"/>
        </w:rPr>
      </w:pPr>
    </w:p>
    <w:p w:rsidR="000F62EF" w:rsidRDefault="00E418E3">
      <w:pPr>
        <w:spacing w:line="240" w:lineRule="auto"/>
        <w:jc w:val="both"/>
        <w:rPr>
          <w:szCs w:val="24"/>
          <w:lang w:val="pt-BR"/>
        </w:rPr>
      </w:pPr>
      <w:r>
        <w:rPr>
          <w:b/>
          <w:szCs w:val="24"/>
          <w:lang w:val="pt-BR"/>
        </w:rPr>
        <w:lastRenderedPageBreak/>
        <w:t>Palavras-chave</w:t>
      </w:r>
      <w:r>
        <w:rPr>
          <w:szCs w:val="24"/>
          <w:lang w:val="pt-BR"/>
        </w:rPr>
        <w:t xml:space="preserve">: Políticas Públicas. Educação Superior. Identidade. Currículo. Direito à Educação. </w:t>
      </w:r>
    </w:p>
    <w:p w:rsidR="00573CA1" w:rsidRDefault="00573CA1" w:rsidP="00573CA1">
      <w:pPr>
        <w:spacing w:line="240" w:lineRule="auto"/>
        <w:jc w:val="both"/>
        <w:rPr>
          <w:b/>
          <w:szCs w:val="24"/>
          <w:lang w:val="en-US"/>
        </w:rPr>
      </w:pPr>
    </w:p>
    <w:p w:rsidR="00573CA1" w:rsidRDefault="00573CA1" w:rsidP="00573CA1">
      <w:pPr>
        <w:spacing w:line="240" w:lineRule="auto"/>
        <w:jc w:val="both"/>
      </w:pPr>
      <w:r>
        <w:rPr>
          <w:b/>
          <w:szCs w:val="24"/>
          <w:lang w:val="en-US"/>
        </w:rPr>
        <w:t>Abstract</w:t>
      </w:r>
    </w:p>
    <w:p w:rsidR="00573CA1" w:rsidRDefault="00573CA1" w:rsidP="00573CA1">
      <w:pPr>
        <w:spacing w:line="240" w:lineRule="auto"/>
        <w:jc w:val="both"/>
        <w:rPr>
          <w:b/>
          <w:szCs w:val="24"/>
          <w:lang w:val="en-US"/>
        </w:rPr>
      </w:pPr>
    </w:p>
    <w:p w:rsidR="00573CA1" w:rsidRDefault="00573CA1" w:rsidP="00573CA1">
      <w:pPr>
        <w:spacing w:line="240" w:lineRule="auto"/>
        <w:jc w:val="both"/>
      </w:pPr>
      <w:r>
        <w:rPr>
          <w:szCs w:val="24"/>
          <w:lang w:val="pt-BR"/>
        </w:rPr>
        <w:t xml:space="preserve">The </w:t>
      </w:r>
      <w:proofErr w:type="spellStart"/>
      <w:r>
        <w:rPr>
          <w:szCs w:val="24"/>
          <w:lang w:val="pt-BR"/>
        </w:rPr>
        <w:t>research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work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reported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here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aims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discuss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proofErr w:type="gramStart"/>
      <w:r>
        <w:rPr>
          <w:szCs w:val="24"/>
          <w:lang w:val="pt-BR"/>
        </w:rPr>
        <w:t>tensions</w:t>
      </w:r>
      <w:proofErr w:type="spellEnd"/>
      <w:r>
        <w:rPr>
          <w:szCs w:val="24"/>
          <w:lang w:val="pt-BR"/>
        </w:rPr>
        <w:t xml:space="preserve">  </w:t>
      </w:r>
      <w:proofErr w:type="spellStart"/>
      <w:r>
        <w:rPr>
          <w:szCs w:val="24"/>
          <w:lang w:val="pt-BR"/>
        </w:rPr>
        <w:t>which</w:t>
      </w:r>
      <w:proofErr w:type="spellEnd"/>
      <w:proofErr w:type="gramEnd"/>
      <w:r>
        <w:rPr>
          <w:szCs w:val="24"/>
          <w:lang w:val="pt-BR"/>
        </w:rPr>
        <w:t xml:space="preserve">  </w:t>
      </w:r>
      <w:proofErr w:type="spellStart"/>
      <w:r>
        <w:rPr>
          <w:szCs w:val="24"/>
          <w:lang w:val="pt-BR"/>
        </w:rPr>
        <w:t>affect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identity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configuration</w:t>
      </w:r>
      <w:proofErr w:type="spellEnd"/>
      <w:r>
        <w:rPr>
          <w:szCs w:val="24"/>
          <w:lang w:val="pt-BR"/>
        </w:rPr>
        <w:t xml:space="preserve"> in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curricula</w:t>
      </w:r>
      <w:proofErr w:type="spellEnd"/>
      <w:r>
        <w:rPr>
          <w:szCs w:val="24"/>
          <w:lang w:val="pt-BR"/>
        </w:rPr>
        <w:t xml:space="preserve"> in </w:t>
      </w:r>
      <w:proofErr w:type="spellStart"/>
      <w:r>
        <w:rPr>
          <w:szCs w:val="24"/>
          <w:lang w:val="pt-BR"/>
        </w:rPr>
        <w:t>higher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establishing</w:t>
      </w:r>
      <w:proofErr w:type="spellEnd"/>
      <w:r>
        <w:rPr>
          <w:szCs w:val="24"/>
          <w:lang w:val="pt-BR"/>
        </w:rPr>
        <w:t xml:space="preserve"> dialogues </w:t>
      </w:r>
      <w:proofErr w:type="spellStart"/>
      <w:r>
        <w:rPr>
          <w:szCs w:val="24"/>
          <w:lang w:val="pt-BR"/>
        </w:rPr>
        <w:t>among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public</w:t>
      </w:r>
      <w:proofErr w:type="spellEnd"/>
      <w:r>
        <w:rPr>
          <w:szCs w:val="24"/>
          <w:lang w:val="pt-BR"/>
        </w:rPr>
        <w:t xml:space="preserve"> policies, </w:t>
      </w:r>
      <w:proofErr w:type="spellStart"/>
      <w:r>
        <w:rPr>
          <w:szCs w:val="24"/>
          <w:lang w:val="pt-BR"/>
        </w:rPr>
        <w:t>human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rights</w:t>
      </w:r>
      <w:proofErr w:type="spellEnd"/>
      <w:r>
        <w:rPr>
          <w:szCs w:val="24"/>
          <w:lang w:val="pt-BR"/>
        </w:rPr>
        <w:t xml:space="preserve"> and </w:t>
      </w:r>
      <w:proofErr w:type="spellStart"/>
      <w:r>
        <w:rPr>
          <w:szCs w:val="24"/>
          <w:lang w:val="pt-BR"/>
        </w:rPr>
        <w:t>youth</w:t>
      </w:r>
      <w:proofErr w:type="spellEnd"/>
      <w:r>
        <w:rPr>
          <w:szCs w:val="24"/>
          <w:lang w:val="pt-BR"/>
        </w:rPr>
        <w:t xml:space="preserve"> in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curriculum. The </w:t>
      </w:r>
      <w:proofErr w:type="spellStart"/>
      <w:r>
        <w:rPr>
          <w:szCs w:val="24"/>
          <w:lang w:val="pt-BR"/>
        </w:rPr>
        <w:t>analysis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with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emphasis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human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rights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contemplates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reference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policies </w:t>
      </w:r>
      <w:proofErr w:type="spellStart"/>
      <w:r>
        <w:rPr>
          <w:szCs w:val="24"/>
          <w:lang w:val="pt-BR"/>
        </w:rPr>
        <w:t>allied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arguments</w:t>
      </w:r>
      <w:proofErr w:type="spellEnd"/>
      <w:r>
        <w:rPr>
          <w:szCs w:val="24"/>
          <w:lang w:val="pt-BR"/>
        </w:rPr>
        <w:t xml:space="preserve"> of Bobbio (2004); </w:t>
      </w:r>
      <w:proofErr w:type="spellStart"/>
      <w:r>
        <w:rPr>
          <w:szCs w:val="24"/>
          <w:lang w:val="pt-BR"/>
        </w:rPr>
        <w:t>Candau</w:t>
      </w:r>
      <w:proofErr w:type="spellEnd"/>
      <w:r>
        <w:rPr>
          <w:szCs w:val="24"/>
          <w:lang w:val="pt-BR"/>
        </w:rPr>
        <w:t xml:space="preserve"> et al (2013), Eyng (2014) and Santos (2010), in dialogue </w:t>
      </w:r>
      <w:proofErr w:type="spellStart"/>
      <w:r>
        <w:rPr>
          <w:szCs w:val="24"/>
          <w:lang w:val="pt-BR"/>
        </w:rPr>
        <w:t>with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students</w:t>
      </w:r>
      <w:proofErr w:type="spellEnd"/>
      <w:r>
        <w:rPr>
          <w:szCs w:val="24"/>
          <w:lang w:val="pt-BR"/>
        </w:rPr>
        <w:t xml:space="preserve">’ </w:t>
      </w:r>
      <w:proofErr w:type="spellStart"/>
      <w:r>
        <w:rPr>
          <w:szCs w:val="24"/>
          <w:lang w:val="pt-BR"/>
        </w:rPr>
        <w:t>perceptions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from</w:t>
      </w:r>
      <w:proofErr w:type="spellEnd"/>
      <w:r>
        <w:rPr>
          <w:szCs w:val="24"/>
          <w:lang w:val="pt-BR"/>
        </w:rPr>
        <w:t xml:space="preserve"> 15 </w:t>
      </w:r>
      <w:proofErr w:type="spellStart"/>
      <w:r>
        <w:rPr>
          <w:szCs w:val="24"/>
          <w:lang w:val="pt-BR"/>
        </w:rPr>
        <w:t>higher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courses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situate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epistemological</w:t>
      </w:r>
      <w:proofErr w:type="spellEnd"/>
      <w:r>
        <w:rPr>
          <w:szCs w:val="24"/>
          <w:lang w:val="pt-BR"/>
        </w:rPr>
        <w:t xml:space="preserve"> and </w:t>
      </w:r>
      <w:proofErr w:type="spellStart"/>
      <w:r>
        <w:rPr>
          <w:szCs w:val="24"/>
          <w:lang w:val="pt-BR"/>
        </w:rPr>
        <w:t>contemporary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contradictions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that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subsidize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reflection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defining</w:t>
      </w:r>
      <w:proofErr w:type="spellEnd"/>
      <w:r>
        <w:rPr>
          <w:szCs w:val="24"/>
          <w:lang w:val="pt-BR"/>
        </w:rPr>
        <w:t xml:space="preserve"> forces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faces of curriculum. The </w:t>
      </w:r>
      <w:proofErr w:type="spellStart"/>
      <w:r>
        <w:rPr>
          <w:szCs w:val="24"/>
          <w:lang w:val="pt-BR"/>
        </w:rPr>
        <w:t>results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study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allow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us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highlight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ambiguous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fragility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insertion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human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rights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 xml:space="preserve"> in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curricula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given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overwhelming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strength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indexes. The </w:t>
      </w:r>
      <w:proofErr w:type="spellStart"/>
      <w:r>
        <w:rPr>
          <w:szCs w:val="24"/>
          <w:lang w:val="pt-BR"/>
        </w:rPr>
        <w:t>inclusion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human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rights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 xml:space="preserve"> in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Course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Projects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is</w:t>
      </w:r>
      <w:proofErr w:type="spellEnd"/>
      <w:r>
        <w:rPr>
          <w:szCs w:val="24"/>
          <w:lang w:val="pt-BR"/>
        </w:rPr>
        <w:t xml:space="preserve"> still </w:t>
      </w:r>
      <w:proofErr w:type="spellStart"/>
      <w:r>
        <w:rPr>
          <w:szCs w:val="24"/>
          <w:lang w:val="pt-BR"/>
        </w:rPr>
        <w:t>very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punctual</w:t>
      </w:r>
      <w:proofErr w:type="spellEnd"/>
      <w:r>
        <w:rPr>
          <w:szCs w:val="24"/>
          <w:lang w:val="pt-BR"/>
        </w:rPr>
        <w:t xml:space="preserve">, more </w:t>
      </w:r>
      <w:proofErr w:type="spellStart"/>
      <w:r>
        <w:rPr>
          <w:szCs w:val="24"/>
          <w:lang w:val="pt-BR"/>
        </w:rPr>
        <w:t>satisfying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requirement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legal </w:t>
      </w:r>
      <w:proofErr w:type="spellStart"/>
      <w:r>
        <w:rPr>
          <w:szCs w:val="24"/>
          <w:lang w:val="pt-BR"/>
        </w:rPr>
        <w:t>requirement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expressing</w:t>
      </w:r>
      <w:proofErr w:type="spellEnd"/>
      <w:r>
        <w:rPr>
          <w:szCs w:val="24"/>
          <w:lang w:val="pt-BR"/>
        </w:rPr>
        <w:t xml:space="preserve"> a </w:t>
      </w:r>
      <w:proofErr w:type="spellStart"/>
      <w:r>
        <w:rPr>
          <w:szCs w:val="24"/>
          <w:lang w:val="pt-BR"/>
        </w:rPr>
        <w:t>pedagogical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conception</w:t>
      </w:r>
      <w:proofErr w:type="spellEnd"/>
      <w:r>
        <w:rPr>
          <w:szCs w:val="24"/>
          <w:lang w:val="pt-BR"/>
        </w:rPr>
        <w:t xml:space="preserve">. In </w:t>
      </w:r>
      <w:proofErr w:type="spellStart"/>
      <w:r>
        <w:rPr>
          <w:szCs w:val="24"/>
          <w:lang w:val="pt-BR"/>
        </w:rPr>
        <w:t>this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scenario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higher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reinforces</w:t>
      </w:r>
      <w:proofErr w:type="spellEnd"/>
      <w:r>
        <w:rPr>
          <w:szCs w:val="24"/>
          <w:lang w:val="pt-BR"/>
        </w:rPr>
        <w:t xml:space="preserve"> more </w:t>
      </w:r>
      <w:proofErr w:type="spellStart"/>
      <w:r>
        <w:rPr>
          <w:szCs w:val="24"/>
          <w:lang w:val="pt-BR"/>
        </w:rPr>
        <w:t>exclusion</w:t>
      </w:r>
      <w:proofErr w:type="spellEnd"/>
      <w:r>
        <w:rPr>
          <w:szCs w:val="24"/>
          <w:lang w:val="pt-BR"/>
        </w:rPr>
        <w:t xml:space="preserve">, </w:t>
      </w:r>
      <w:proofErr w:type="spellStart"/>
      <w:r>
        <w:rPr>
          <w:szCs w:val="24"/>
          <w:lang w:val="pt-BR"/>
        </w:rPr>
        <w:t>inequality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by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values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competition</w:t>
      </w:r>
      <w:proofErr w:type="spellEnd"/>
      <w:r>
        <w:rPr>
          <w:szCs w:val="24"/>
          <w:lang w:val="pt-BR"/>
        </w:rPr>
        <w:t xml:space="preserve"> and </w:t>
      </w:r>
      <w:proofErr w:type="spellStart"/>
      <w:r>
        <w:rPr>
          <w:szCs w:val="24"/>
          <w:lang w:val="pt-BR"/>
        </w:rPr>
        <w:t>individualism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than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inclusion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through</w:t>
      </w:r>
      <w:proofErr w:type="spellEnd"/>
      <w:r>
        <w:rPr>
          <w:szCs w:val="24"/>
          <w:lang w:val="pt-BR"/>
        </w:rPr>
        <w:t xml:space="preserve"> dialogue </w:t>
      </w:r>
      <w:proofErr w:type="spellStart"/>
      <w:r>
        <w:rPr>
          <w:szCs w:val="24"/>
          <w:lang w:val="pt-BR"/>
        </w:rPr>
        <w:t>with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equality</w:t>
      </w:r>
      <w:proofErr w:type="spellEnd"/>
      <w:r>
        <w:rPr>
          <w:szCs w:val="24"/>
          <w:lang w:val="pt-BR"/>
        </w:rPr>
        <w:t xml:space="preserve"> and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difference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which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constitute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diversity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that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supposes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exercise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the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values</w:t>
      </w:r>
      <w:proofErr w:type="spellEnd"/>
      <w:r>
        <w:rPr>
          <w:szCs w:val="24"/>
          <w:lang w:val="pt-BR"/>
        </w:rPr>
        <w:t xml:space="preserve"> of </w:t>
      </w:r>
      <w:proofErr w:type="spellStart"/>
      <w:r>
        <w:rPr>
          <w:szCs w:val="24"/>
          <w:lang w:val="pt-BR"/>
        </w:rPr>
        <w:t>dignity</w:t>
      </w:r>
      <w:proofErr w:type="spellEnd"/>
      <w:r>
        <w:rPr>
          <w:szCs w:val="24"/>
          <w:lang w:val="pt-BR"/>
        </w:rPr>
        <w:t xml:space="preserve"> and </w:t>
      </w:r>
      <w:proofErr w:type="spellStart"/>
      <w:r>
        <w:rPr>
          <w:szCs w:val="24"/>
          <w:lang w:val="pt-BR"/>
        </w:rPr>
        <w:t>solidarity</w:t>
      </w:r>
      <w:proofErr w:type="spellEnd"/>
      <w:r>
        <w:rPr>
          <w:szCs w:val="24"/>
          <w:lang w:val="pt-BR"/>
        </w:rPr>
        <w:t>.</w:t>
      </w:r>
    </w:p>
    <w:p w:rsidR="00573CA1" w:rsidRDefault="00573CA1" w:rsidP="00573CA1">
      <w:pPr>
        <w:spacing w:line="240" w:lineRule="auto"/>
        <w:jc w:val="both"/>
        <w:rPr>
          <w:szCs w:val="24"/>
          <w:lang w:val="pt-BR"/>
        </w:rPr>
      </w:pPr>
    </w:p>
    <w:p w:rsidR="00573CA1" w:rsidRDefault="00573CA1" w:rsidP="00573CA1">
      <w:pPr>
        <w:spacing w:line="240" w:lineRule="auto"/>
        <w:jc w:val="both"/>
      </w:pPr>
      <w:r>
        <w:rPr>
          <w:b/>
          <w:szCs w:val="24"/>
          <w:lang w:val="pt-BR"/>
        </w:rPr>
        <w:t xml:space="preserve">Keywords: </w:t>
      </w:r>
      <w:proofErr w:type="spellStart"/>
      <w:r>
        <w:rPr>
          <w:szCs w:val="24"/>
          <w:lang w:val="pt-BR"/>
        </w:rPr>
        <w:t>Public</w:t>
      </w:r>
      <w:proofErr w:type="spellEnd"/>
      <w:r>
        <w:rPr>
          <w:szCs w:val="24"/>
          <w:lang w:val="pt-BR"/>
        </w:rPr>
        <w:t xml:space="preserve"> Policies. </w:t>
      </w:r>
      <w:proofErr w:type="spellStart"/>
      <w:proofErr w:type="gramStart"/>
      <w:r>
        <w:rPr>
          <w:szCs w:val="24"/>
          <w:lang w:val="pt-BR"/>
        </w:rPr>
        <w:t>Higher</w:t>
      </w:r>
      <w:proofErr w:type="spellEnd"/>
      <w:r>
        <w:rPr>
          <w:szCs w:val="24"/>
          <w:lang w:val="pt-BR"/>
        </w:rPr>
        <w:t xml:space="preserve">  </w:t>
      </w:r>
      <w:proofErr w:type="spellStart"/>
      <w:r>
        <w:rPr>
          <w:szCs w:val="24"/>
          <w:lang w:val="pt-BR"/>
        </w:rPr>
        <w:t>education</w:t>
      </w:r>
      <w:proofErr w:type="spellEnd"/>
      <w:proofErr w:type="gramEnd"/>
      <w:r>
        <w:rPr>
          <w:szCs w:val="24"/>
          <w:lang w:val="pt-BR"/>
        </w:rPr>
        <w:t xml:space="preserve">. </w:t>
      </w:r>
      <w:proofErr w:type="spellStart"/>
      <w:r>
        <w:rPr>
          <w:szCs w:val="24"/>
          <w:lang w:val="pt-BR"/>
        </w:rPr>
        <w:t>Identity</w:t>
      </w:r>
      <w:proofErr w:type="spellEnd"/>
      <w:r>
        <w:rPr>
          <w:szCs w:val="24"/>
          <w:lang w:val="pt-BR"/>
        </w:rPr>
        <w:t xml:space="preserve">. Curriculum. </w:t>
      </w:r>
      <w:proofErr w:type="spellStart"/>
      <w:r>
        <w:rPr>
          <w:szCs w:val="24"/>
          <w:lang w:val="pt-BR"/>
        </w:rPr>
        <w:t>Right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to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education</w:t>
      </w:r>
      <w:proofErr w:type="spellEnd"/>
      <w:r>
        <w:rPr>
          <w:szCs w:val="24"/>
          <w:lang w:val="pt-BR"/>
        </w:rPr>
        <w:t>.</w:t>
      </w:r>
    </w:p>
    <w:p w:rsidR="000F62EF" w:rsidRDefault="000F62EF">
      <w:pPr>
        <w:spacing w:line="240" w:lineRule="auto"/>
        <w:jc w:val="both"/>
        <w:rPr>
          <w:szCs w:val="24"/>
          <w:lang w:val="pt-BR"/>
        </w:rPr>
      </w:pPr>
    </w:p>
    <w:p w:rsidR="000F62EF" w:rsidRDefault="00E418E3">
      <w:pPr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>Introdução</w:t>
      </w:r>
    </w:p>
    <w:p w:rsidR="000F62EF" w:rsidRDefault="000F62EF">
      <w:pPr>
        <w:ind w:firstLine="709"/>
        <w:jc w:val="both"/>
        <w:rPr>
          <w:szCs w:val="24"/>
          <w:lang w:val="pt-BR"/>
        </w:rPr>
      </w:pPr>
    </w:p>
    <w:p w:rsidR="000F62EF" w:rsidRDefault="00E418E3">
      <w:pPr>
        <w:ind w:firstLine="709"/>
        <w:jc w:val="both"/>
      </w:pPr>
      <w:r>
        <w:rPr>
          <w:szCs w:val="24"/>
          <w:lang w:val="pt-BR"/>
        </w:rPr>
        <w:t xml:space="preserve">As políticas educacionais brasileiras, alinhadas às diretrizes das garantias de direitos humanos, firmadas em declarações e convenções internacionais, preveem a inserção da educação em direitos humanos nos projetos pedagógicos dos cursos na Educação Superior. Essa perspectiva tem como intencionalidade a formação da inteireza que supõe o cultivo dos valores da dignidade e solidariedade para o exercício profissional e cidadão. Entretanto, os indicadores de qualidade, das diretrizes de avaliação desses mesmos cursos. </w:t>
      </w:r>
      <w:proofErr w:type="gramStart"/>
      <w:r>
        <w:rPr>
          <w:szCs w:val="24"/>
          <w:lang w:val="pt-BR"/>
        </w:rPr>
        <w:t>são</w:t>
      </w:r>
      <w:proofErr w:type="gramEnd"/>
      <w:r>
        <w:rPr>
          <w:szCs w:val="24"/>
          <w:lang w:val="pt-BR"/>
        </w:rPr>
        <w:t xml:space="preserve"> parametrizados pelos índices reducionistas de desempenho dos estudantes nos exames nacionais de curso. A contradição presente nas diretrizes legais distorce as intencionalidades em jogo nos currículos dos cursos. </w:t>
      </w:r>
      <w:r>
        <w:rPr>
          <w:rFonts w:eastAsia="Times New Roman"/>
          <w:szCs w:val="24"/>
          <w:lang w:val="pt-BR" w:eastAsia="pt-BR"/>
        </w:rPr>
        <w:t>Nesse sentido, se questiona a efetivação da educação em direitos humanos na educação superior, considerando as interfaces curriculares.</w:t>
      </w:r>
    </w:p>
    <w:p w:rsidR="000F62EF" w:rsidRDefault="00E418E3">
      <w:pPr>
        <w:ind w:firstLine="709"/>
        <w:jc w:val="both"/>
      </w:pPr>
      <w:r>
        <w:rPr>
          <w:szCs w:val="24"/>
          <w:lang w:val="pt-BR"/>
        </w:rPr>
        <w:t xml:space="preserve">O percurso metodológico do estudo percorreu a análise documental de políticas que permite estabelecer o diálogo sobre educação em direitos humanos entre os argumentos políticos e teórico-conceituais com as percepções de estudantes da educação superior. No estudo, destacamos dos documentos internacionais: Declaração Universal dos Direitos Humanos (ONU, 1948); </w:t>
      </w:r>
      <w:bookmarkStart w:id="2" w:name="_Hlk486861706"/>
      <w:r>
        <w:rPr>
          <w:szCs w:val="24"/>
          <w:lang w:val="pt-BR"/>
        </w:rPr>
        <w:t xml:space="preserve">A Educação que queremos para a geração dos bicentenários: Metas Educativas 2021 (OEI, 2008); </w:t>
      </w:r>
      <w:bookmarkEnd w:id="2"/>
      <w:r>
        <w:rPr>
          <w:szCs w:val="24"/>
          <w:lang w:val="pt-BR"/>
        </w:rPr>
        <w:t xml:space="preserve">Conferência Mundial sobre Ensino Superior 2009: As Novas Dinâmicas do Ensino Superior e Pesquisas para a Mudança e o Desenvolvimento Social </w:t>
      </w:r>
      <w:r>
        <w:rPr>
          <w:szCs w:val="24"/>
          <w:lang w:val="pt-BR"/>
        </w:rPr>
        <w:lastRenderedPageBreak/>
        <w:t>(UNESCO, 2009); Programa Mundial para Educação em Direitos Humanos – Segunda fase (UNESCO, 2012). E dos documentos nacionais: Constituição Federal (</w:t>
      </w:r>
      <w:r>
        <w:rPr>
          <w:bCs/>
          <w:szCs w:val="24"/>
          <w:lang w:val="pt-BR"/>
        </w:rPr>
        <w:t xml:space="preserve">BRASIL, </w:t>
      </w:r>
      <w:r>
        <w:rPr>
          <w:szCs w:val="24"/>
          <w:lang w:val="pt-BR"/>
        </w:rPr>
        <w:t>1988); Lei de Diretrizes e bases da Educação Nacional (</w:t>
      </w:r>
      <w:r>
        <w:rPr>
          <w:bCs/>
          <w:szCs w:val="24"/>
          <w:lang w:val="pt-BR"/>
        </w:rPr>
        <w:t xml:space="preserve">BRASIL, </w:t>
      </w:r>
      <w:r>
        <w:rPr>
          <w:szCs w:val="24"/>
          <w:lang w:val="pt-BR"/>
        </w:rPr>
        <w:t xml:space="preserve">1996); </w:t>
      </w:r>
      <w:r>
        <w:rPr>
          <w:bCs/>
          <w:szCs w:val="24"/>
          <w:lang w:val="pt-BR"/>
        </w:rPr>
        <w:t xml:space="preserve">Plano Nacional de Educação em Direitos Humanos (BRASIL, 2007); </w:t>
      </w:r>
      <w:r>
        <w:rPr>
          <w:szCs w:val="24"/>
          <w:lang w:val="pt-BR"/>
        </w:rPr>
        <w:t xml:space="preserve">Diretrizes Curriculares Nacionais para a Educação em Direitos Humanos (BRASIL, 2012); Plano Nacional de Educação 2014-2024 (BRASIL, 2014). Bobbio (2004); </w:t>
      </w:r>
      <w:proofErr w:type="spellStart"/>
      <w:r>
        <w:rPr>
          <w:szCs w:val="24"/>
          <w:lang w:val="pt-BR"/>
        </w:rPr>
        <w:t>Candau</w:t>
      </w:r>
      <w:proofErr w:type="spellEnd"/>
      <w:r>
        <w:rPr>
          <w:szCs w:val="24"/>
          <w:lang w:val="pt-BR"/>
        </w:rPr>
        <w:t xml:space="preserve"> et al (2013), Eyng (2014) e Santos (2010), que situam as contradições epistemológicas contemporâneas e subsidiam a reflexão sobre as forças definidoras das faces do currículo escolar.</w:t>
      </w:r>
    </w:p>
    <w:p w:rsidR="000F62EF" w:rsidRDefault="000F62EF">
      <w:pPr>
        <w:ind w:firstLine="709"/>
        <w:jc w:val="both"/>
        <w:rPr>
          <w:szCs w:val="24"/>
          <w:lang w:val="pt-BR"/>
        </w:rPr>
      </w:pPr>
    </w:p>
    <w:p w:rsidR="000F62EF" w:rsidRDefault="00E418E3">
      <w:pPr>
        <w:jc w:val="both"/>
        <w:rPr>
          <w:szCs w:val="24"/>
          <w:lang w:val="pt-BR"/>
        </w:rPr>
      </w:pPr>
      <w:r>
        <w:rPr>
          <w:b/>
          <w:szCs w:val="24"/>
          <w:lang w:val="pt-BR"/>
        </w:rPr>
        <w:t>As faces do currículo nas políticas Internacionais de Direitos Humanos</w:t>
      </w:r>
    </w:p>
    <w:p w:rsidR="000F62EF" w:rsidRDefault="000F62EF">
      <w:pPr>
        <w:spacing w:line="240" w:lineRule="auto"/>
        <w:ind w:firstLine="709"/>
        <w:jc w:val="both"/>
        <w:rPr>
          <w:szCs w:val="24"/>
          <w:lang w:val="pt-BR"/>
        </w:rPr>
      </w:pPr>
    </w:p>
    <w:p w:rsidR="000F62EF" w:rsidRDefault="00E418E3">
      <w:pPr>
        <w:ind w:firstLine="709"/>
        <w:jc w:val="both"/>
      </w:pPr>
      <w:r>
        <w:rPr>
          <w:rFonts w:eastAsia="Times New Roman"/>
          <w:szCs w:val="24"/>
          <w:lang w:val="pt-BR" w:eastAsia="pt-BR"/>
        </w:rPr>
        <w:t xml:space="preserve">A igualdade e a diferença constitutivas da </w:t>
      </w:r>
      <w:r>
        <w:rPr>
          <w:szCs w:val="24"/>
          <w:lang w:val="pt-BR"/>
        </w:rPr>
        <w:t>diversidade de sujeitos e contextos implicados na garantia de direitos no espaço educacional desafiam “[...] o reconhecimento do outro como sujeito de direito e ator social [...]” (CANDAU et al, 2013, p. 37), o que ressalta como imprescindível a escuta dos sujeitos do currículo. Portanto, “o reconhecimento e valorização dos saberes e conhecimento dos grupos subalternizados implica ética e politicamente o respeito ao outro, diferente, e sua cultura” (CANDAU et al, 2013, p. 37). Assim, a construção de outras possibilidades identitárias poderá viabilizar a educação em direitos humanos no cotidiano curricular.</w:t>
      </w:r>
      <w:r>
        <w:rPr>
          <w:color w:val="000000"/>
          <w:szCs w:val="24"/>
          <w:lang w:val="pt-BR"/>
        </w:rPr>
        <w:t xml:space="preserve"> Para adentrar na análise de tais possibilidades iniciamos com a perspectiva das políticas no campo dos direitos humanos. </w:t>
      </w:r>
    </w:p>
    <w:p w:rsidR="000F62EF" w:rsidRDefault="00E418E3">
      <w:pPr>
        <w:ind w:firstLine="709"/>
        <w:jc w:val="both"/>
      </w:pPr>
      <w:r>
        <w:rPr>
          <w:color w:val="000000"/>
          <w:szCs w:val="24"/>
          <w:lang w:val="pt-BR"/>
        </w:rPr>
        <w:t xml:space="preserve">No âmbito internacional, os direitos humanos afirmados na Declaração de 1948 têm suas referências em documentos (americanos, ingleses e franceses) dos anos 1700 e reafirmam os princípios da Revolução Francesa liberdade, fraternidade e igualdade. São concebidos na perspectiva da cultura ocidental, seguindo uma lógica da padronização hegemônica que perdura por aproximadamente quarenta anos. Essa constatação questiona o fato de que </w:t>
      </w:r>
      <w:r>
        <w:rPr>
          <w:rFonts w:eastAsia="Times New Roman"/>
          <w:szCs w:val="24"/>
          <w:lang w:val="pt-BR" w:eastAsia="pt-BR"/>
        </w:rPr>
        <w:t xml:space="preserve">“os direitos humanos não são universais na sua aplicação” (SANTOS, 2010, p. 442), pois requerem uma concepção pautada em “[...] uma política de direitos humanos radicalmente diferente da liberal hegemônica” (SANTOS, 2010, p. 443). </w:t>
      </w:r>
    </w:p>
    <w:p w:rsidR="000F62EF" w:rsidRDefault="00E418E3">
      <w:pPr>
        <w:ind w:firstLine="709"/>
        <w:jc w:val="both"/>
        <w:rPr>
          <w:szCs w:val="24"/>
          <w:lang w:val="pt-BR"/>
        </w:rPr>
      </w:pPr>
      <w:r>
        <w:rPr>
          <w:color w:val="000000"/>
          <w:szCs w:val="24"/>
          <w:lang w:val="pt-BR"/>
        </w:rPr>
        <w:t xml:space="preserve">Gradativamente, nos documentos mais recentes são destacadas as necessidades da superação das desigualdades, dos preconceitos, das discriminações produzidas e reforçadas por uma ótica liberal, hegemônica e </w:t>
      </w:r>
      <w:proofErr w:type="spellStart"/>
      <w:r>
        <w:rPr>
          <w:color w:val="000000"/>
          <w:szCs w:val="24"/>
          <w:lang w:val="pt-BR"/>
        </w:rPr>
        <w:t>monocultural</w:t>
      </w:r>
      <w:proofErr w:type="spellEnd"/>
      <w:r>
        <w:rPr>
          <w:color w:val="000000"/>
          <w:szCs w:val="24"/>
          <w:lang w:val="pt-BR"/>
        </w:rPr>
        <w:t>.</w:t>
      </w:r>
      <w:r>
        <w:rPr>
          <w:szCs w:val="24"/>
          <w:lang w:val="pt-BR"/>
        </w:rPr>
        <w:t xml:space="preserve"> Assim, cabe a efetivação da educação em direitos humanos numa perspectiva inclusiva, reconhecendo a igualdade e as diferenças na garantia do direito à dignidade humana. </w:t>
      </w:r>
    </w:p>
    <w:p w:rsidR="000F62EF" w:rsidRDefault="00E418E3">
      <w:pPr>
        <w:ind w:firstLine="709"/>
        <w:jc w:val="both"/>
      </w:pPr>
      <w:r>
        <w:rPr>
          <w:color w:val="000000"/>
          <w:szCs w:val="24"/>
          <w:lang w:val="pt-BR"/>
        </w:rPr>
        <w:lastRenderedPageBreak/>
        <w:t>Essa</w:t>
      </w:r>
      <w:r>
        <w:rPr>
          <w:rFonts w:eastAsia="Times New Roman"/>
          <w:szCs w:val="24"/>
          <w:lang w:val="pt-BR" w:eastAsia="pt-BR"/>
        </w:rPr>
        <w:t xml:space="preserve"> direção, reconhece que: </w:t>
      </w:r>
      <w:r>
        <w:rPr>
          <w:color w:val="000000"/>
          <w:szCs w:val="24"/>
          <w:lang w:val="pt-BR"/>
        </w:rPr>
        <w:t>“A Educação Superior como um bem público é responsabilidade de todos os investidores, especialmente dos governantes” (UNESCO, 2009). E a educação em direitos humanos como processo transversal ao longo da integralização do currículo, se estendendo para o exercício profissional e cidadão no cotidiano dos egressos da educação superior. “A educação em direitos humanos é um processo ao longo da vida que constrói conhecimento e habilidades, assim como atitudes e comportamentos para promover e apoiar os direitos humanos” (UNESCO, 2012). Essa é uma das perspectivas dos desafios postos para o currículo da Educação Superior, no âmbito dos projetos pedagógicos de curso.</w:t>
      </w:r>
    </w:p>
    <w:p w:rsidR="000F62EF" w:rsidRDefault="00E418E3">
      <w:pPr>
        <w:ind w:firstLine="709"/>
        <w:jc w:val="both"/>
      </w:pPr>
      <w:r>
        <w:rPr>
          <w:color w:val="000000"/>
          <w:szCs w:val="24"/>
          <w:lang w:val="pt-BR"/>
        </w:rPr>
        <w:t xml:space="preserve">Para a consecução desse desafio, a aposta se faz no campo da educação, cuja proposição é da educação em direitos humanos, reconhecendo-a </w:t>
      </w:r>
      <w:r>
        <w:rPr>
          <w:rFonts w:eastAsia="Times New Roman"/>
          <w:szCs w:val="24"/>
          <w:lang w:val="pt-BR" w:eastAsia="pt-BR"/>
        </w:rPr>
        <w:t xml:space="preserve">como parte fundamental do conjunto de direitos, fazendo parte, inclusive do próprio direito à educação. Nesse contexto, a educação em direitos humanos é "[...] definida </w:t>
      </w:r>
      <w:r>
        <w:rPr>
          <w:color w:val="000000"/>
          <w:szCs w:val="24"/>
          <w:lang w:val="pt-BR"/>
        </w:rPr>
        <w:t xml:space="preserve">como um conjunto de atividades de educação, de capacitação e de difusão de informação, orientado para a criação de uma cultura universal de direitos humanos" </w:t>
      </w:r>
      <w:r>
        <w:rPr>
          <w:szCs w:val="24"/>
          <w:lang w:val="pt-BR"/>
        </w:rPr>
        <w:t>(UNESCO, 2012). C</w:t>
      </w:r>
      <w:r>
        <w:rPr>
          <w:color w:val="000000"/>
          <w:szCs w:val="24"/>
          <w:lang w:val="pt-BR"/>
        </w:rPr>
        <w:t xml:space="preserve">oncebida ainda como uma educação que integra conhecimentos, estratégias de proteção à atitudes e comportamentos de respeito aos direitos de todos e por todos. </w:t>
      </w:r>
      <w:r>
        <w:rPr>
          <w:szCs w:val="24"/>
          <w:lang w:val="pt-BR"/>
        </w:rPr>
        <w:t>“</w:t>
      </w:r>
      <w:r>
        <w:rPr>
          <w:color w:val="000000"/>
          <w:szCs w:val="24"/>
          <w:lang w:val="pt-BR"/>
        </w:rPr>
        <w:t xml:space="preserve">A educação em direitos humanos promove as atitudes e o comportamento necessários para que os direitos humanos para todos os membros da sociedade sejam respeitados” </w:t>
      </w:r>
      <w:r>
        <w:rPr>
          <w:szCs w:val="24"/>
          <w:lang w:val="pt-BR"/>
        </w:rPr>
        <w:t>(UNESCO, 2012).</w:t>
      </w:r>
    </w:p>
    <w:p w:rsidR="000F62EF" w:rsidRDefault="00E418E3">
      <w:pPr>
        <w:ind w:firstLine="709"/>
        <w:jc w:val="both"/>
      </w:pPr>
      <w:r>
        <w:rPr>
          <w:szCs w:val="24"/>
          <w:lang w:val="pt-BR"/>
        </w:rPr>
        <w:t xml:space="preserve">Trata-se, portanto, da concepção de uma educação integral que supõe saberes, valores, e habilidades amplos, contemplando as diferentes áreas de conhecimentos escolares e culturais. Essa proposição “[...] </w:t>
      </w:r>
      <w:r>
        <w:rPr>
          <w:color w:val="000000"/>
          <w:szCs w:val="24"/>
          <w:lang w:val="pt-BR"/>
        </w:rPr>
        <w:t>não somente proporciona conhecimentos sobre os direitos humanos e os mecanismos para protegê-los, mas, além disso, transmite as aptidões necessárias para promover, defender e aplicar os direitos humanos na vida cotidiana das pessoas” (</w:t>
      </w:r>
      <w:r>
        <w:rPr>
          <w:szCs w:val="24"/>
          <w:lang w:val="pt-BR"/>
        </w:rPr>
        <w:t xml:space="preserve">UNESCO, 2012). Mas, composta de aprendizagens tangíveis, mensuráveis e de aprendizagens subjetivas, intangíveis que não são passíveis de mensuração, tais como o respeito e a solidariedade na convivência. </w:t>
      </w:r>
    </w:p>
    <w:p w:rsidR="000F62EF" w:rsidRDefault="00E418E3">
      <w:pPr>
        <w:ind w:firstLine="709"/>
        <w:jc w:val="both"/>
        <w:rPr>
          <w:szCs w:val="24"/>
          <w:highlight w:val="yellow"/>
          <w:lang w:val="pt-BR"/>
        </w:rPr>
      </w:pPr>
      <w:r>
        <w:rPr>
          <w:szCs w:val="24"/>
          <w:lang w:val="pt-BR"/>
        </w:rPr>
        <w:t>Nesse sentido, acreditamos na potencialidade da educação em direitos humanos que tenha "[...] como objetivo central a formação para a vida e para a convivência, no exercício cotidiano dos Direitos Humanos como forma de vida e de organização social, política, econômica e cultural nos níveis regionais, nacionais e planetário" (BRASIL, 2012b).</w:t>
      </w:r>
    </w:p>
    <w:p w:rsidR="000F62EF" w:rsidRDefault="00E418E3">
      <w:pPr>
        <w:ind w:firstLine="709"/>
        <w:jc w:val="both"/>
      </w:pPr>
      <w:r>
        <w:rPr>
          <w:rFonts w:eastAsia="Times New Roman"/>
          <w:bCs/>
          <w:szCs w:val="24"/>
          <w:lang w:val="pt-BR" w:eastAsia="pt-BR"/>
        </w:rPr>
        <w:t>Essa perspectiva vai se constituindo e se fortalecendo, a partir da</w:t>
      </w:r>
      <w:r>
        <w:rPr>
          <w:rFonts w:eastAsia="Times New Roman"/>
          <w:szCs w:val="24"/>
          <w:lang w:val="pt-BR" w:eastAsia="pt-BR"/>
        </w:rPr>
        <w:t xml:space="preserve"> democratização do Estado Brasileiro, que desde a década de 1980 produziu um conjunto de políticas que assumem e afirmam, como princípio os direitos humanos na educação. </w:t>
      </w:r>
      <w:r>
        <w:rPr>
          <w:rFonts w:eastAsia="Times New Roman"/>
          <w:bCs/>
          <w:szCs w:val="24"/>
          <w:lang w:val="pt-BR" w:eastAsia="pt-BR"/>
        </w:rPr>
        <w:t xml:space="preserve">Destacamos essa constatação na Constituição Federal (BRASIL, 1988), na Lei de Diretrizes e Bases da Educação Nacional n. </w:t>
      </w:r>
      <w:r>
        <w:rPr>
          <w:rFonts w:eastAsia="Times New Roman"/>
          <w:bCs/>
          <w:szCs w:val="24"/>
          <w:lang w:val="pt-BR" w:eastAsia="pt-BR"/>
        </w:rPr>
        <w:lastRenderedPageBreak/>
        <w:t xml:space="preserve">9394/96 (BRASIL, 1996), no </w:t>
      </w:r>
      <w:r>
        <w:rPr>
          <w:bCs/>
          <w:szCs w:val="24"/>
          <w:lang w:val="pt-BR"/>
        </w:rPr>
        <w:t xml:space="preserve">Plano Nacional de Educação em Direitos Humanos (BRASIL, 2007) e nas </w:t>
      </w:r>
      <w:r>
        <w:rPr>
          <w:rFonts w:eastAsia="Times New Roman"/>
          <w:szCs w:val="24"/>
          <w:lang w:val="pt-BR" w:eastAsia="pt-BR"/>
        </w:rPr>
        <w:t xml:space="preserve">Diretrizes Nacionais para a Educação em Direitos Humanos (BRASIL, 2012b). </w:t>
      </w:r>
    </w:p>
    <w:p w:rsidR="000F62EF" w:rsidRDefault="00E418E3">
      <w:pPr>
        <w:ind w:firstLine="709"/>
        <w:jc w:val="both"/>
      </w:pPr>
      <w:r>
        <w:rPr>
          <w:rFonts w:eastAsia="Times New Roman"/>
          <w:szCs w:val="24"/>
          <w:lang w:val="pt-BR" w:eastAsia="pt-BR"/>
        </w:rPr>
        <w:t xml:space="preserve">A Constituição Federal define a educação como direito social, tendo como base os princípios democráticos da igualdade, da liberdade, do pluralismo de ideias e de concepções pedagógicas, gratuidade do ensino público, valorização dos profissionais do ensino, gestão democrática do ensino público, e garantia de padrão de qualidade. “A educação, direito de todos e dever do Estado e da família, será promovida e incentivada com a colaboração da sociedade, visando ao pleno desenvolvimento da pessoa, seu preparo para o exercício da cidadania e sua qualificação para o trabalho” (BRASIL, 1988). Na mesma direção está a concepção de Educação assumida na Lei de Diretrizes e Bases de 1996. “A educação, dever da família e do Estado, inspirada nos princípios de liberdade e nos ideais de solidariedade humana, tem por finalidade o pleno desenvolvimento do educando, seu preparo para o exercício da cidadania e sua qualificação para o trabalho” (BRASIL, 1996). </w:t>
      </w:r>
    </w:p>
    <w:p w:rsidR="000F62EF" w:rsidRDefault="00E418E3">
      <w:pPr>
        <w:ind w:firstLine="709"/>
        <w:jc w:val="both"/>
        <w:rPr>
          <w:rFonts w:eastAsia="Times New Roman"/>
          <w:szCs w:val="24"/>
          <w:lang w:val="pt-BR" w:eastAsia="pt-BR"/>
        </w:rPr>
      </w:pPr>
      <w:r>
        <w:rPr>
          <w:szCs w:val="24"/>
          <w:lang w:val="pt-BR"/>
        </w:rPr>
        <w:t xml:space="preserve">Para tanto, os percursos curriculares têm como intencionalidade “[...] </w:t>
      </w:r>
      <w:r>
        <w:rPr>
          <w:rFonts w:eastAsia="Times New Roman"/>
          <w:szCs w:val="24"/>
          <w:lang w:val="pt-BR" w:eastAsia="pt-BR"/>
        </w:rPr>
        <w:t>uma ação pedagógica conscientizadora e libertadora, voltada para o respeito e valorização da diversidade, aos conceitos de sustentabilidade e de formação da cidadania ativa”.</w:t>
      </w:r>
      <w:r>
        <w:rPr>
          <w:bCs/>
          <w:szCs w:val="24"/>
          <w:lang w:val="pt-BR"/>
        </w:rPr>
        <w:t xml:space="preserve"> (BRASIL, 2007). </w:t>
      </w:r>
      <w:r>
        <w:rPr>
          <w:rFonts w:eastAsia="Times New Roman"/>
          <w:szCs w:val="24"/>
          <w:lang w:val="pt-BR" w:eastAsia="pt-BR"/>
        </w:rPr>
        <w:t>Assim, a "[...] educação vem sendo entendida como uma das mediações fundamentais tanto para o acesso ao legado histórico dos Direitos Humanos, quanto para a compreensão de que a cultura dos Direitos Humanos é um dos alicerces para a mudança social. (BRASIL, 2012a</w:t>
      </w:r>
      <w:r>
        <w:rPr>
          <w:rFonts w:eastAsia="Times New Roman"/>
          <w:bCs/>
          <w:szCs w:val="24"/>
          <w:lang w:val="pt-BR" w:eastAsia="pt-BR"/>
        </w:rPr>
        <w:t xml:space="preserve">). </w:t>
      </w:r>
      <w:r>
        <w:rPr>
          <w:rFonts w:eastAsia="Times New Roman"/>
          <w:szCs w:val="24"/>
          <w:lang w:val="pt-BR" w:eastAsia="pt-BR"/>
        </w:rPr>
        <w:t>No escopo das políticas públicas, expressas gradativamente na legislação educacional Brasileira, "[...] a educação é reconhecida como um dos Direitos Humanos e a Educação em Direitos Humanos é parte fundamental do conjunto desses direitos, inclusive do próprio direito à educação." (BRASIL, 2012a).</w:t>
      </w:r>
    </w:p>
    <w:p w:rsidR="000F62EF" w:rsidRDefault="00E418E3">
      <w:pPr>
        <w:ind w:firstLine="709"/>
        <w:jc w:val="both"/>
      </w:pPr>
      <w:r>
        <w:rPr>
          <w:rFonts w:eastAsia="Times New Roman"/>
          <w:bCs/>
          <w:szCs w:val="24"/>
          <w:lang w:val="pt-BR" w:eastAsia="pt-BR"/>
        </w:rPr>
        <w:t xml:space="preserve">O </w:t>
      </w:r>
      <w:r>
        <w:rPr>
          <w:szCs w:val="24"/>
          <w:lang w:val="pt-BR"/>
        </w:rPr>
        <w:t xml:space="preserve">Plano Nacional de Educação 2014-2024 reafirma a necessidade de garantir o direito à educação, superando as visíveis marcas de violação desse direito que tem se perpetuado sob forma de insuficiência de vagas, falta de acesso, das insuficientes condições de permanência, a evasão, além dos precários resultados. </w:t>
      </w:r>
    </w:p>
    <w:p w:rsidR="000F62EF" w:rsidRDefault="00E418E3">
      <w:pPr>
        <w:ind w:firstLine="709"/>
        <w:jc w:val="both"/>
        <w:rPr>
          <w:rFonts w:eastAsia="Times New Roman"/>
          <w:b/>
          <w:szCs w:val="24"/>
          <w:lang w:val="pt-BR" w:eastAsia="pt-BR"/>
        </w:rPr>
      </w:pPr>
      <w:r>
        <w:rPr>
          <w:szCs w:val="24"/>
          <w:lang w:val="pt-BR"/>
        </w:rPr>
        <w:t xml:space="preserve">Entretanto, se mantém o desafio da efetivação da Educação em Direitos Humanos capaz de abarcar o reconhecimento e luta pela garantia de “[...] um conjunto de direitos civis, políticos, sociais, econômicos, culturais e ambientais, sejam eles individuais, coletivos, transindividuais ou difusos, referem-se à necessidade de igualdade e de defesa da dignidade humana” (BRASIL, 2012b). Para esse propósito há necessidade de inserir nos currículos ações na perspectiva dos direitos humanos “com a finalidade de promover a educação para a mudança e a transformação social"(BRASIL, 2012b). Para tanto, são requeridos </w:t>
      </w:r>
      <w:proofErr w:type="spellStart"/>
      <w:r>
        <w:rPr>
          <w:i/>
          <w:szCs w:val="24"/>
          <w:lang w:val="pt-BR"/>
        </w:rPr>
        <w:t>espaçotempos</w:t>
      </w:r>
      <w:proofErr w:type="spellEnd"/>
      <w:r>
        <w:rPr>
          <w:i/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curriculares caracterizados </w:t>
      </w:r>
      <w:r>
        <w:rPr>
          <w:szCs w:val="24"/>
          <w:lang w:val="pt-BR"/>
        </w:rPr>
        <w:lastRenderedPageBreak/>
        <w:t>pelos princípios fundamentais dos direitos humanos: "I - dignidade humana; II - igualdade de direitos; III - reconhecimento e valorização das diferenças e das diversidades; IV - laicidade do Estado; V - democracia na educação; VI - transversalidade, vivência e globalidade; e VII - sustentabilidade socioambiental."(BRASIL, 2012b).</w:t>
      </w:r>
    </w:p>
    <w:p w:rsidR="000F62EF" w:rsidRDefault="000F62EF">
      <w:pPr>
        <w:ind w:firstLine="709"/>
        <w:jc w:val="both"/>
        <w:rPr>
          <w:szCs w:val="24"/>
          <w:lang w:val="pt-BR"/>
        </w:rPr>
      </w:pPr>
    </w:p>
    <w:p w:rsidR="000F62EF" w:rsidRDefault="00E418E3">
      <w:pPr>
        <w:spacing w:line="240" w:lineRule="auto"/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>As faces do currículo nas percepções de estudantes da Educação Superior</w:t>
      </w:r>
    </w:p>
    <w:p w:rsidR="000F62EF" w:rsidRDefault="000F62EF">
      <w:pPr>
        <w:ind w:firstLine="709"/>
        <w:jc w:val="both"/>
        <w:rPr>
          <w:szCs w:val="24"/>
          <w:lang w:val="pt-BR"/>
        </w:rPr>
      </w:pPr>
    </w:p>
    <w:p w:rsidR="000F62EF" w:rsidRDefault="00E418E3">
      <w:pPr>
        <w:ind w:firstLine="709"/>
        <w:jc w:val="both"/>
      </w:pPr>
      <w:r>
        <w:rPr>
          <w:szCs w:val="24"/>
          <w:lang w:val="pt-BR"/>
        </w:rPr>
        <w:t>A demanda por garantia de direitos das populações infanto-juvenis</w:t>
      </w:r>
      <w:r>
        <w:rPr>
          <w:b/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no âmbito nacional e internacional tem se ampliado, diante do agravamento do quadro da escolarização e acesso à oportunidade de educação e trabalho das juventudes no cenário atual, tanto no Brasil, como em diversos outros países que identificaram essa problemática. </w:t>
      </w:r>
    </w:p>
    <w:p w:rsidR="000F62EF" w:rsidRDefault="00E418E3">
      <w:pPr>
        <w:ind w:firstLine="709"/>
        <w:jc w:val="both"/>
      </w:pPr>
      <w:r>
        <w:rPr>
          <w:szCs w:val="24"/>
          <w:lang w:val="pt-BR"/>
        </w:rPr>
        <w:t>Dentre os dez paradoxos dos dilemas enfrentados pelos jovens relacionamos três que se referem à garantia do direito à educação.</w:t>
      </w:r>
      <w:r>
        <w:rPr>
          <w:color w:val="000000"/>
          <w:szCs w:val="24"/>
          <w:lang w:val="pt-BR"/>
        </w:rPr>
        <w:t xml:space="preserve"> 1. maior acesso à educação, mas menor acesso ao emprego; 2. </w:t>
      </w:r>
      <w:proofErr w:type="gramStart"/>
      <w:r>
        <w:rPr>
          <w:color w:val="000000"/>
          <w:szCs w:val="24"/>
          <w:lang w:val="pt-BR"/>
        </w:rPr>
        <w:t>mais</w:t>
      </w:r>
      <w:proofErr w:type="gramEnd"/>
      <w:r>
        <w:rPr>
          <w:color w:val="000000"/>
          <w:szCs w:val="24"/>
          <w:lang w:val="pt-BR"/>
        </w:rPr>
        <w:t xml:space="preserve"> acesso à informação, mas menos acesso ao poder; 3. </w:t>
      </w:r>
      <w:proofErr w:type="gramStart"/>
      <w:r>
        <w:rPr>
          <w:color w:val="000000"/>
          <w:szCs w:val="24"/>
          <w:lang w:val="pt-BR"/>
        </w:rPr>
        <w:t>mais</w:t>
      </w:r>
      <w:proofErr w:type="gramEnd"/>
      <w:r>
        <w:rPr>
          <w:color w:val="000000"/>
          <w:szCs w:val="24"/>
          <w:lang w:val="pt-BR"/>
        </w:rPr>
        <w:t xml:space="preserve"> expectativas de autonomia, mas menos possibilidades de materializá-la. (</w:t>
      </w:r>
      <w:bookmarkStart w:id="3" w:name="_Hlk486862520"/>
      <w:r>
        <w:rPr>
          <w:color w:val="000000"/>
          <w:szCs w:val="24"/>
          <w:lang w:val="pt-BR"/>
        </w:rPr>
        <w:t>CEPAL-OIJ, 200</w:t>
      </w:r>
      <w:bookmarkEnd w:id="3"/>
      <w:r>
        <w:rPr>
          <w:color w:val="000000"/>
          <w:szCs w:val="24"/>
          <w:lang w:val="pt-BR"/>
        </w:rPr>
        <w:t xml:space="preserve">4, p. 17-18). Esses paradoxos são enfrentados pela população juvenil numa escala mundial, considerando os dilemas da inclusão-exclusão que os acomete. </w:t>
      </w:r>
    </w:p>
    <w:p w:rsidR="000F62EF" w:rsidRDefault="00E418E3">
      <w:pPr>
        <w:ind w:firstLine="709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As juventudes contemporâneas enredadas nesse cenário social, econômico e cultural são confrontadas com múltiplas demandas, entre as quais estão, segundo a (OEI, 2008): a necessidade de contribuir para o sustento de sua família, a falta de incentivos ao trabalho, vinculados ao desempenho escolar e o alcance de determinados objetos de consumo que se quer obter antes de terminar a educação.  </w:t>
      </w:r>
    </w:p>
    <w:p w:rsidR="000F62EF" w:rsidRDefault="00E418E3">
      <w:pPr>
        <w:ind w:firstLine="709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Entretanto, essa mesma juventude está também </w:t>
      </w:r>
      <w:proofErr w:type="spellStart"/>
      <w:r>
        <w:rPr>
          <w:color w:val="000000"/>
          <w:szCs w:val="24"/>
          <w:lang w:val="pt-BR"/>
        </w:rPr>
        <w:t>assujeitada</w:t>
      </w:r>
      <w:proofErr w:type="spellEnd"/>
      <w:r>
        <w:rPr>
          <w:color w:val="000000"/>
          <w:szCs w:val="24"/>
          <w:lang w:val="pt-BR"/>
        </w:rPr>
        <w:t xml:space="preserve"> às questões de pedagógicas ultrapassadas que configuram itinerários curriculares ultrapassados, desprovidos de sentido e função educativa, considerando as múltiplas e complexas demandas do contexto contemporâneo. Há necessidade de superar as propostas formativas pautadas em currículos tradicionais nos quais: </w:t>
      </w:r>
    </w:p>
    <w:p w:rsidR="000F62EF" w:rsidRDefault="000F62EF">
      <w:pPr>
        <w:ind w:firstLine="709"/>
        <w:jc w:val="both"/>
        <w:rPr>
          <w:color w:val="000000"/>
          <w:szCs w:val="24"/>
          <w:lang w:val="pt-BR"/>
        </w:rPr>
      </w:pPr>
    </w:p>
    <w:p w:rsidR="000F62EF" w:rsidRDefault="00E418E3">
      <w:pPr>
        <w:spacing w:line="240" w:lineRule="auto"/>
        <w:ind w:left="1985"/>
        <w:jc w:val="both"/>
        <w:rPr>
          <w:color w:val="000000"/>
          <w:sz w:val="20"/>
          <w:szCs w:val="20"/>
          <w:lang w:val="pt-BR"/>
        </w:rPr>
      </w:pPr>
      <w:r>
        <w:rPr>
          <w:color w:val="000000"/>
          <w:sz w:val="20"/>
          <w:szCs w:val="20"/>
          <w:lang w:val="pt-BR"/>
        </w:rPr>
        <w:t>[...] a norma é a aprendizagem de memória, a falta de conexão das aprendizagens com a realidade vivida, a ausência dos elementos básicos da cultura jovem: – música, computadores, redes de informação, esporte - entre os conteúdos da aprendizagem, e a percepção, em suma, de que o que foi aprendido carece de sentido e não merece o esforço requerido. (OEI, 2008, p. 61).</w:t>
      </w:r>
    </w:p>
    <w:p w:rsidR="000F62EF" w:rsidRDefault="000F62EF">
      <w:pPr>
        <w:ind w:firstLine="708"/>
        <w:jc w:val="both"/>
        <w:rPr>
          <w:color w:val="000000"/>
          <w:szCs w:val="24"/>
          <w:lang w:val="pt-BR"/>
        </w:rPr>
      </w:pPr>
    </w:p>
    <w:p w:rsidR="000F62EF" w:rsidRDefault="00E418E3">
      <w:pPr>
        <w:ind w:firstLine="708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A educação em direitos humanos pode ser capaz de realizar a mudança na direção de um currículo, “[...] no qual se integre a vida dos jovens, e que dê também sentido a suas </w:t>
      </w:r>
      <w:r>
        <w:rPr>
          <w:color w:val="000000"/>
          <w:szCs w:val="24"/>
          <w:lang w:val="pt-BR"/>
        </w:rPr>
        <w:lastRenderedPageBreak/>
        <w:t>atividades e aspirações, seria um elemento importante para que um maior número de jovens com alto risco de abandono se mantenha na escola durante mais tempo” (OEI, 2008, p. 61).</w:t>
      </w:r>
    </w:p>
    <w:p w:rsidR="000F62EF" w:rsidRDefault="00E418E3">
      <w:pPr>
        <w:ind w:firstLine="708"/>
        <w:jc w:val="both"/>
        <w:rPr>
          <w:color w:val="000000"/>
          <w:szCs w:val="24"/>
          <w:lang w:val="pt-BR"/>
        </w:rPr>
      </w:pPr>
      <w:r>
        <w:rPr>
          <w:szCs w:val="24"/>
          <w:lang w:val="pt-BR"/>
        </w:rPr>
        <w:t xml:space="preserve">Assim, novos diálogos entre políticas e programas com as juventudes são demandados, na garantia e efetivação dos seus direitos, entre os quais está a garantia do direito à educação no currículo. Para tanto, amplos diagnósticos são requeridos como subsídios que favoreçam a garantia de direitos, da justiça e do protagonismo juvenil em processos educativos interculturais. 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 xml:space="preserve">Com esse intuito, trazemos elementos de percepções de estudantes de 15 cursos da Educação Superior que foram ouvidos sobre direitos, justiça e convivência, em duas etapas em conformidade com a Técnica </w:t>
      </w:r>
      <w:r>
        <w:rPr>
          <w:i/>
          <w:szCs w:val="24"/>
          <w:lang w:val="pt-BR"/>
        </w:rPr>
        <w:t xml:space="preserve">Delphi, </w:t>
      </w:r>
      <w:r>
        <w:rPr>
          <w:szCs w:val="24"/>
          <w:lang w:val="pt-BR"/>
        </w:rPr>
        <w:t>tal procedimento de investigação viabiliza o diálogo entre o conhecimento dos sujeitos. A coleta se realiza "sem que haja proximidade física entre os participantes e sem necessidade de que as pessoas identifiquem as suas proposições. Dessa forma, evita-se que haja influência e interferência entre os envolvidos, permitindo que todos se manifestem autêntica e livremente” (</w:t>
      </w:r>
      <w:bookmarkStart w:id="4" w:name="_Hlk486862571"/>
      <w:r>
        <w:rPr>
          <w:szCs w:val="24"/>
          <w:lang w:val="pt-BR"/>
        </w:rPr>
        <w:t>EYNG, 1995, p. 63</w:t>
      </w:r>
      <w:bookmarkEnd w:id="4"/>
      <w:r>
        <w:rPr>
          <w:szCs w:val="24"/>
          <w:lang w:val="pt-BR"/>
        </w:rPr>
        <w:t xml:space="preserve">). </w:t>
      </w:r>
      <w:r>
        <w:rPr>
          <w:bCs/>
          <w:szCs w:val="24"/>
          <w:lang w:val="pt-BR"/>
        </w:rPr>
        <w:t xml:space="preserve">A escuta dos jovens na Educação Superior, abrangeu 607 estudantes, na primeira fase </w:t>
      </w:r>
      <w:r>
        <w:rPr>
          <w:szCs w:val="24"/>
          <w:lang w:val="pt-BR"/>
        </w:rPr>
        <w:t>e</w:t>
      </w:r>
      <w:r>
        <w:rPr>
          <w:bCs/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413 </w:t>
      </w:r>
      <w:r>
        <w:rPr>
          <w:bCs/>
          <w:szCs w:val="24"/>
          <w:lang w:val="pt-BR"/>
        </w:rPr>
        <w:t>e</w:t>
      </w:r>
      <w:r>
        <w:rPr>
          <w:szCs w:val="24"/>
          <w:lang w:val="pt-BR"/>
        </w:rPr>
        <w:t>studantes, na segunda.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>Quanto aos traços que caracterizam os jovens que participaram da pesquisa. Em relação aos períodos que frequentam: n</w:t>
      </w:r>
      <w:r>
        <w:rPr>
          <w:bCs/>
          <w:szCs w:val="24"/>
          <w:lang w:val="pt-BR"/>
        </w:rPr>
        <w:t xml:space="preserve">a </w:t>
      </w:r>
      <w:r>
        <w:rPr>
          <w:b/>
          <w:bCs/>
          <w:szCs w:val="24"/>
          <w:lang w:val="pt-BR"/>
        </w:rPr>
        <w:t>1ª Fase</w:t>
      </w:r>
      <w:r>
        <w:rPr>
          <w:bCs/>
          <w:szCs w:val="24"/>
          <w:lang w:val="pt-BR"/>
        </w:rPr>
        <w:t xml:space="preserve"> houve a participação de 339 (55,6%) estudantes do 2º Período e </w:t>
      </w:r>
      <w:r>
        <w:rPr>
          <w:szCs w:val="24"/>
          <w:lang w:val="pt-BR"/>
        </w:rPr>
        <w:t xml:space="preserve">268 (44,2%) do </w:t>
      </w:r>
      <w:r>
        <w:rPr>
          <w:bCs/>
          <w:szCs w:val="24"/>
          <w:lang w:val="pt-BR"/>
        </w:rPr>
        <w:t xml:space="preserve">6º Período, perfazendo um total de </w:t>
      </w:r>
      <w:r>
        <w:rPr>
          <w:szCs w:val="24"/>
          <w:lang w:val="pt-BR"/>
        </w:rPr>
        <w:t xml:space="preserve">607 participantes. Na </w:t>
      </w:r>
      <w:r>
        <w:rPr>
          <w:b/>
          <w:szCs w:val="24"/>
          <w:lang w:val="pt-BR"/>
        </w:rPr>
        <w:t>2ª Fase</w:t>
      </w:r>
      <w:r>
        <w:rPr>
          <w:szCs w:val="24"/>
          <w:lang w:val="pt-BR"/>
        </w:rPr>
        <w:t xml:space="preserve"> participaram 276 (66,8%) do 4º Período e 137 (33,2%) do 8º Período, totalizando 413 estudantes. </w:t>
      </w:r>
    </w:p>
    <w:p w:rsidR="000F62EF" w:rsidRDefault="00E418E3">
      <w:pPr>
        <w:ind w:right="170"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A identificação quanto idade, sexo, cor, foram feitas apenas na primeira fase. Assim, dos 607 participantes, em relação à idade estavam assim distribuídos: </w:t>
      </w:r>
      <w:r>
        <w:rPr>
          <w:bCs/>
          <w:szCs w:val="24"/>
          <w:lang w:val="pt-BR"/>
        </w:rPr>
        <w:t xml:space="preserve">18 anos ou menos </w:t>
      </w:r>
      <w:r>
        <w:rPr>
          <w:szCs w:val="24"/>
          <w:lang w:val="pt-BR"/>
        </w:rPr>
        <w:t xml:space="preserve">108 (17,8%); </w:t>
      </w:r>
      <w:r>
        <w:rPr>
          <w:bCs/>
          <w:szCs w:val="24"/>
          <w:lang w:val="pt-BR"/>
        </w:rPr>
        <w:t xml:space="preserve">19 a 23 anos </w:t>
      </w:r>
      <w:r>
        <w:rPr>
          <w:szCs w:val="24"/>
          <w:lang w:val="pt-BR"/>
        </w:rPr>
        <w:t xml:space="preserve">292 (48,1%); </w:t>
      </w:r>
      <w:r>
        <w:rPr>
          <w:bCs/>
          <w:szCs w:val="24"/>
          <w:lang w:val="pt-BR"/>
        </w:rPr>
        <w:t xml:space="preserve">24 a 28 anos </w:t>
      </w:r>
      <w:r>
        <w:rPr>
          <w:szCs w:val="24"/>
          <w:lang w:val="pt-BR"/>
        </w:rPr>
        <w:t xml:space="preserve">107 (17,6%); </w:t>
      </w:r>
      <w:r>
        <w:rPr>
          <w:bCs/>
          <w:szCs w:val="24"/>
          <w:lang w:val="pt-BR"/>
        </w:rPr>
        <w:t xml:space="preserve">29 a 33 anos </w:t>
      </w:r>
      <w:r>
        <w:rPr>
          <w:szCs w:val="24"/>
          <w:lang w:val="pt-BR"/>
        </w:rPr>
        <w:t xml:space="preserve">46 (7,6%); </w:t>
      </w:r>
      <w:r>
        <w:rPr>
          <w:bCs/>
          <w:szCs w:val="24"/>
          <w:lang w:val="pt-BR"/>
        </w:rPr>
        <w:t xml:space="preserve">34 a 38 anos </w:t>
      </w:r>
      <w:r>
        <w:rPr>
          <w:szCs w:val="24"/>
          <w:lang w:val="pt-BR"/>
        </w:rPr>
        <w:t xml:space="preserve">20 (3,3%); </w:t>
      </w:r>
      <w:r>
        <w:rPr>
          <w:bCs/>
          <w:szCs w:val="24"/>
          <w:lang w:val="pt-BR"/>
        </w:rPr>
        <w:t xml:space="preserve">39 anos ou mais </w:t>
      </w:r>
      <w:r>
        <w:rPr>
          <w:szCs w:val="24"/>
          <w:lang w:val="pt-BR"/>
        </w:rPr>
        <w:t xml:space="preserve">28 (4,6%); </w:t>
      </w:r>
      <w:r>
        <w:rPr>
          <w:bCs/>
          <w:szCs w:val="24"/>
          <w:lang w:val="pt-BR"/>
        </w:rPr>
        <w:t xml:space="preserve">Não Resposta </w:t>
      </w:r>
      <w:r>
        <w:rPr>
          <w:szCs w:val="24"/>
          <w:lang w:val="pt-BR"/>
        </w:rPr>
        <w:t xml:space="preserve">6 (1,0%). Quanto ao sexo </w:t>
      </w:r>
      <w:r>
        <w:rPr>
          <w:b/>
          <w:bCs/>
          <w:szCs w:val="24"/>
          <w:lang w:val="pt-BR"/>
        </w:rPr>
        <w:t xml:space="preserve">Feminino </w:t>
      </w:r>
      <w:r>
        <w:rPr>
          <w:szCs w:val="24"/>
          <w:lang w:val="pt-BR"/>
        </w:rPr>
        <w:t xml:space="preserve">363 (59,8%); </w:t>
      </w:r>
      <w:r>
        <w:rPr>
          <w:b/>
          <w:bCs/>
          <w:szCs w:val="24"/>
          <w:lang w:val="pt-BR"/>
        </w:rPr>
        <w:t xml:space="preserve">Masculino </w:t>
      </w:r>
      <w:r>
        <w:rPr>
          <w:szCs w:val="24"/>
          <w:lang w:val="pt-BR"/>
        </w:rPr>
        <w:t>242 (39,9</w:t>
      </w:r>
      <w:proofErr w:type="gramStart"/>
      <w:r>
        <w:rPr>
          <w:szCs w:val="24"/>
          <w:lang w:val="pt-BR"/>
        </w:rPr>
        <w:t>%);  Não</w:t>
      </w:r>
      <w:proofErr w:type="gramEnd"/>
      <w:r>
        <w:rPr>
          <w:szCs w:val="24"/>
          <w:lang w:val="pt-BR"/>
        </w:rPr>
        <w:t xml:space="preserve"> resposta 2 (0,3%), Quanto à percepção de cor declarada </w:t>
      </w:r>
      <w:r>
        <w:rPr>
          <w:b/>
          <w:bCs/>
          <w:szCs w:val="24"/>
          <w:lang w:val="pt-BR"/>
        </w:rPr>
        <w:t xml:space="preserve">Branco </w:t>
      </w:r>
      <w:r>
        <w:rPr>
          <w:bCs/>
          <w:szCs w:val="24"/>
          <w:lang w:val="pt-BR"/>
        </w:rPr>
        <w:t>460 (75.8%);</w:t>
      </w:r>
      <w:r>
        <w:rPr>
          <w:b/>
          <w:bCs/>
          <w:szCs w:val="24"/>
          <w:lang w:val="pt-BR"/>
        </w:rPr>
        <w:t xml:space="preserve"> Negro </w:t>
      </w:r>
      <w:r>
        <w:rPr>
          <w:bCs/>
          <w:szCs w:val="24"/>
          <w:lang w:val="pt-BR"/>
        </w:rPr>
        <w:t>18 (3,0%);</w:t>
      </w:r>
      <w:r>
        <w:rPr>
          <w:b/>
          <w:bCs/>
          <w:szCs w:val="24"/>
          <w:lang w:val="pt-BR"/>
        </w:rPr>
        <w:t xml:space="preserve"> Pardo </w:t>
      </w:r>
      <w:r>
        <w:rPr>
          <w:bCs/>
          <w:szCs w:val="24"/>
          <w:lang w:val="pt-BR"/>
        </w:rPr>
        <w:t>84 (13,8%);</w:t>
      </w:r>
      <w:r>
        <w:rPr>
          <w:b/>
          <w:bCs/>
          <w:szCs w:val="24"/>
          <w:lang w:val="pt-BR"/>
        </w:rPr>
        <w:t xml:space="preserve"> Amarelo </w:t>
      </w:r>
      <w:r>
        <w:rPr>
          <w:bCs/>
          <w:szCs w:val="24"/>
          <w:lang w:val="pt-BR"/>
        </w:rPr>
        <w:t>5 (0,8%);</w:t>
      </w:r>
      <w:r>
        <w:rPr>
          <w:b/>
          <w:bCs/>
          <w:szCs w:val="24"/>
          <w:lang w:val="pt-BR"/>
        </w:rPr>
        <w:t xml:space="preserve"> Indígena </w:t>
      </w:r>
      <w:r>
        <w:rPr>
          <w:bCs/>
          <w:szCs w:val="24"/>
          <w:lang w:val="pt-BR"/>
        </w:rPr>
        <w:t>0 (0,0%);</w:t>
      </w:r>
      <w:r>
        <w:rPr>
          <w:b/>
          <w:bCs/>
          <w:szCs w:val="24"/>
          <w:lang w:val="pt-BR"/>
        </w:rPr>
        <w:t xml:space="preserve"> Não resposta </w:t>
      </w:r>
      <w:r>
        <w:rPr>
          <w:bCs/>
          <w:szCs w:val="24"/>
          <w:lang w:val="pt-BR"/>
        </w:rPr>
        <w:t xml:space="preserve">30 (6,6). </w:t>
      </w:r>
    </w:p>
    <w:p w:rsidR="000F62EF" w:rsidRDefault="00E418E3">
      <w:pPr>
        <w:ind w:firstLine="708"/>
        <w:jc w:val="both"/>
        <w:rPr>
          <w:iCs/>
          <w:szCs w:val="24"/>
          <w:lang w:val="pt-BR"/>
        </w:rPr>
      </w:pPr>
      <w:r>
        <w:rPr>
          <w:szCs w:val="24"/>
          <w:lang w:val="pt-BR"/>
        </w:rPr>
        <w:t xml:space="preserve">Os estudantes ouvidos nas duas fases foram abordados coletivamente, abrangendo todos os estudantes presentes na sala de aula nos dias agendados. Na ocasião, os presentes foram informados sobre a pesquisa e seus objetivos, sendo que todos receberam os materiais referentes à coleta de dados (formulário com as questões e termo de consentimento). Os instrumentos foram preenchidos individualmente por aqueles que assim o desejaram, mediante assinatura do termo de consentimento livre e esclarecido. Ao final foram recolhidos todos os materiais distribuídos, tanto dos que desejaram participar como daqueles que declinaram e entregaram </w:t>
      </w:r>
      <w:r>
        <w:rPr>
          <w:szCs w:val="24"/>
          <w:lang w:val="pt-BR"/>
        </w:rPr>
        <w:lastRenderedPageBreak/>
        <w:t xml:space="preserve">em branco, sem quaisquer distinções entre esses dois grupos. </w:t>
      </w:r>
      <w:r>
        <w:rPr>
          <w:color w:val="000000"/>
          <w:szCs w:val="24"/>
          <w:lang w:val="pt-BR"/>
        </w:rPr>
        <w:t xml:space="preserve">Após a coleta os instrumentos foram numerados, digitados e sistematizados com </w:t>
      </w:r>
      <w:r>
        <w:rPr>
          <w:szCs w:val="24"/>
          <w:lang w:val="pt-BR"/>
        </w:rPr>
        <w:t xml:space="preserve">a utilização do </w:t>
      </w:r>
      <w:r>
        <w:rPr>
          <w:i/>
          <w:iCs/>
          <w:szCs w:val="24"/>
          <w:lang w:val="pt-BR"/>
        </w:rPr>
        <w:t xml:space="preserve">software </w:t>
      </w:r>
      <w:proofErr w:type="spellStart"/>
      <w:r>
        <w:rPr>
          <w:i/>
          <w:iCs/>
          <w:szCs w:val="24"/>
          <w:lang w:val="pt-BR"/>
        </w:rPr>
        <w:t>Sphinx</w:t>
      </w:r>
      <w:proofErr w:type="spellEnd"/>
      <w:r>
        <w:rPr>
          <w:i/>
          <w:iCs/>
          <w:szCs w:val="24"/>
          <w:lang w:val="pt-BR"/>
        </w:rPr>
        <w:t xml:space="preserve"> Léxica, </w:t>
      </w:r>
      <w:r>
        <w:rPr>
          <w:iCs/>
          <w:szCs w:val="24"/>
          <w:lang w:val="pt-BR"/>
        </w:rPr>
        <w:t>sendo a categorização feita com referência na análise de conteúdo</w:t>
      </w:r>
      <w:r>
        <w:rPr>
          <w:szCs w:val="24"/>
          <w:lang w:val="pt-BR"/>
        </w:rPr>
        <w:t xml:space="preserve">, conforme </w:t>
      </w:r>
      <w:proofErr w:type="spellStart"/>
      <w:r>
        <w:rPr>
          <w:szCs w:val="24"/>
          <w:lang w:val="pt-BR"/>
        </w:rPr>
        <w:t>Bardin</w:t>
      </w:r>
      <w:proofErr w:type="spellEnd"/>
      <w:r>
        <w:rPr>
          <w:szCs w:val="24"/>
          <w:lang w:val="pt-BR"/>
        </w:rPr>
        <w:t xml:space="preserve"> (2000)</w:t>
      </w:r>
      <w:r>
        <w:rPr>
          <w:iCs/>
          <w:szCs w:val="24"/>
          <w:lang w:val="pt-BR"/>
        </w:rPr>
        <w:t xml:space="preserve">. 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As respostas obtidas na </w:t>
      </w:r>
      <w:r>
        <w:rPr>
          <w:b/>
          <w:szCs w:val="24"/>
          <w:lang w:val="pt-BR"/>
        </w:rPr>
        <w:t>primeira fase</w:t>
      </w:r>
      <w:r>
        <w:rPr>
          <w:szCs w:val="24"/>
          <w:lang w:val="pt-BR"/>
        </w:rPr>
        <w:t xml:space="preserve"> foram agrupadas e categorizadas originando dezesseis itens: </w:t>
      </w:r>
    </w:p>
    <w:p w:rsidR="000F62EF" w:rsidRDefault="00E418E3">
      <w:pPr>
        <w:spacing w:line="240" w:lineRule="auto"/>
        <w:ind w:left="2124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1. Direitos básicos, essenciais para sobrevivência e vida saudável 174(22,8); 2. Direito como ordenamento legal, definido por lei, pelo "governo" 100 (13,1); 3. Direito como inerente ao ser humano 77 (10,1); 4. Direito como normatização moral, dever 62 (8,1); 5. Direito que dá proteção, assegura integridade individual e coletiva 53 (7,0); 6. Direitos que todos podem exercer, usufruir - igualdade 39 (5,1); 7. Direito como escolha, opção, liberdade 36 (4,7); 8. Direito como forma de assegurar a integridade das pessoas, do ser humano 30 (3,9); 9. Direito como justiça, igualdade "intercultural" 27 (3,5); 10. Direito como meio de garantia de convivência, ordem no rel. pessoal e coletivo 24 (3,2); 11. Direito como garantia de cidadania 23 (3,0); 12. Direitos individuais e coletivos 20 (2,6); 13. Direito como forma de igualar a todos 18 (2,4); 14. Direito como usufruto pessoal, individual na sociedade 17 (2,2); 15. Direito como convívio social 15 (2,0) 16. Diversos 48 (6,3) entre os quais o direito à identidade. (EYNG, 2013).</w:t>
      </w:r>
    </w:p>
    <w:p w:rsidR="000F62EF" w:rsidRDefault="000F62EF">
      <w:pPr>
        <w:spacing w:line="240" w:lineRule="auto"/>
        <w:ind w:left="2124"/>
        <w:jc w:val="both"/>
        <w:rPr>
          <w:sz w:val="20"/>
          <w:szCs w:val="20"/>
          <w:lang w:val="pt-BR"/>
        </w:rPr>
      </w:pP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Dessas respostas foram compostos os itens do formulário aplicado na </w:t>
      </w:r>
      <w:r>
        <w:rPr>
          <w:b/>
          <w:szCs w:val="24"/>
          <w:lang w:val="pt-BR"/>
        </w:rPr>
        <w:t>segunda fase</w:t>
      </w:r>
      <w:r>
        <w:rPr>
          <w:szCs w:val="24"/>
          <w:lang w:val="pt-BR"/>
        </w:rPr>
        <w:t xml:space="preserve"> da pesquisa aos mesmos grupos de estudantes. Além da ideia central foram incluídas no formulário breves explicações dos significados atribuídos pelos estudantes a cada categoria, constituindo uma espécie e discurso coletivo. 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>Nos formulários aplicados na segunda fase os estudantes, foram informados que se tratava de uma nova fase da pesquisa anterior, dando continuidade à investigação iniciada no semestre anterior e da qual as suas turmas haviam participado. Foram também informados sobre a oportunidade de conhecerem e se posicionarem sobre o conjunto de percepções enunciadas pelos participantes na primeira fase. Nessa etapa, os estudantes foram inicialmente solicitados a ler e classificar as diversas percepções sobre Direitos Humanos, considerando a possibilidade de contribuir para viabilizar a efetivação dos direitos humanos na sociedade. A análise deveria ser feita de acordo com a legenda: E - Extremamente; M - Muito; R - Razoável; P - Pouco; N - Nenhum; NSA - Não se aplica.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 xml:space="preserve">Na sequência, foram solicitados a indicar entre as alternativas qual melhor define direitos humanos, segundo sua percepção. Os posicionamentos dos estudantes indicam como melhor possibilidade de concepção sobre direitos humanos, por ordem de valorização: 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inerente ao ser humano - </w:t>
      </w:r>
      <w:r>
        <w:rPr>
          <w:rFonts w:ascii="Times New Roman" w:hAnsi="Times New Roman"/>
          <w:szCs w:val="20"/>
        </w:rPr>
        <w:t>Direitos humanos são universais previstos para assegurar a dignidade humana. 119 (28,8);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de justiça e igualdade - </w:t>
      </w:r>
      <w:r>
        <w:rPr>
          <w:rFonts w:ascii="Times New Roman" w:hAnsi="Times New Roman"/>
          <w:szCs w:val="20"/>
        </w:rPr>
        <w:t>Direitos humanos são a garantia da justiça e igualdade para todos. 104 (25,2);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Direitos básicos/fundamental - </w:t>
      </w:r>
      <w:r>
        <w:rPr>
          <w:rFonts w:ascii="Times New Roman" w:hAnsi="Times New Roman"/>
          <w:szCs w:val="20"/>
        </w:rPr>
        <w:t>Direitos humanos são os direitos essenciais para a sobrevivência e vida saudável. 40 (9,7);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de liberdade - </w:t>
      </w:r>
      <w:r>
        <w:rPr>
          <w:rFonts w:ascii="Times New Roman" w:hAnsi="Times New Roman"/>
          <w:szCs w:val="20"/>
        </w:rPr>
        <w:t>Direitos humanos são os direitos de escolha e liberdade de expressão a todos, sem repressão. 36 (8,7);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 xml:space="preserve">Direito à identidade - </w:t>
      </w:r>
      <w:r>
        <w:rPr>
          <w:rFonts w:ascii="Times New Roman" w:hAnsi="Times New Roman"/>
          <w:szCs w:val="20"/>
        </w:rPr>
        <w:t>Direito humano de usufruir e ser respeitado na sua individualidade. 35 (8,5);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de proteção - </w:t>
      </w:r>
      <w:r>
        <w:rPr>
          <w:rFonts w:ascii="Times New Roman" w:hAnsi="Times New Roman"/>
          <w:szCs w:val="20"/>
        </w:rPr>
        <w:t>Direito humano é ter assegurado a integridade individual e coletiva. 35 (8,5);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ao convívio social - </w:t>
      </w:r>
      <w:r>
        <w:rPr>
          <w:rFonts w:ascii="Times New Roman" w:hAnsi="Times New Roman"/>
          <w:szCs w:val="20"/>
        </w:rPr>
        <w:t>Direitos humanos são a vivência e convivência entre as pessoas na sociedade. 27 (6,5);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de garantia de cidadania - </w:t>
      </w:r>
      <w:r>
        <w:rPr>
          <w:rFonts w:ascii="Times New Roman" w:hAnsi="Times New Roman"/>
          <w:szCs w:val="20"/>
        </w:rPr>
        <w:t>Direito humano é a garantia de participação democrática 9 (2,2);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como ordenamento legal- </w:t>
      </w:r>
      <w:r>
        <w:rPr>
          <w:rFonts w:ascii="Times New Roman" w:hAnsi="Times New Roman"/>
          <w:szCs w:val="20"/>
        </w:rPr>
        <w:t>Direitos humanos são aplicações do previsto em leis. 6 (1,5);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Direito como normatização moral - </w:t>
      </w:r>
      <w:r>
        <w:rPr>
          <w:rFonts w:ascii="Times New Roman" w:hAnsi="Times New Roman"/>
          <w:szCs w:val="20"/>
        </w:rPr>
        <w:t>Direitos humanos são regras e normas morais que determinam a conduta das pessoas. 6 (1,5);</w:t>
      </w:r>
    </w:p>
    <w:p w:rsidR="000F62EF" w:rsidRDefault="00E418E3">
      <w:pPr>
        <w:pStyle w:val="Legenda"/>
        <w:ind w:left="21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Não resposta e outros - </w:t>
      </w:r>
      <w:r>
        <w:rPr>
          <w:rFonts w:ascii="Times New Roman" w:hAnsi="Times New Roman"/>
          <w:szCs w:val="20"/>
        </w:rPr>
        <w:t>8 (2,0). (EYNG, 2013).</w:t>
      </w:r>
    </w:p>
    <w:p w:rsidR="000F62EF" w:rsidRDefault="000F62EF">
      <w:pPr>
        <w:rPr>
          <w:lang w:val="pt-BR"/>
        </w:rPr>
      </w:pPr>
    </w:p>
    <w:p w:rsidR="000F62EF" w:rsidRDefault="00E418E3">
      <w:pPr>
        <w:ind w:right="-142" w:firstLine="709"/>
        <w:jc w:val="both"/>
      </w:pPr>
      <w:r>
        <w:rPr>
          <w:szCs w:val="24"/>
          <w:lang w:val="pt-BR"/>
        </w:rPr>
        <w:t xml:space="preserve">A dinâmica do procedimento de pesquisa adotada permitiu a reflexão dos participantes sobre os seus posicionamentos iniciais, produzindo novas percepções entre a valorização manifestada na primeira e na segunda fase. Na segunda fase, os estudantes foram questionados sobre como percebem os direitos humanos na escola. As respostas obtidas na primeira fase foram agrupadas e categorizadas originando treze itens: </w:t>
      </w:r>
    </w:p>
    <w:p w:rsidR="000F62EF" w:rsidRDefault="000F62EF">
      <w:pPr>
        <w:ind w:right="-142" w:firstLine="709"/>
        <w:jc w:val="both"/>
        <w:rPr>
          <w:szCs w:val="24"/>
          <w:lang w:val="pt-BR"/>
        </w:rPr>
      </w:pPr>
    </w:p>
    <w:p w:rsidR="000F62EF" w:rsidRDefault="00E418E3">
      <w:pPr>
        <w:spacing w:line="240" w:lineRule="auto"/>
        <w:ind w:left="2127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1. Direito à educação, aprender, qualidade 114 (14,5); 2. Direito de ser respeitado 82 (10,5); 3. Direito de tratamento igual, igualdade 79 (10,1); 4. Direito à proteção individual e coletiva 68 (8,7); 5. Determinação, normatização moral 60 (7,7); 6. Direito de questionar, se expressar 41 (5,2); 7. Direito ao desempenho de papéis 38 (4,9); 8. Direito as diferenças 34 (4,3); 9. Direito de boa convivência 25 (3,2); 10. Direito de acesso 23 (2,9); 11. Direito de atendimento das necessidades individuais 23 (2,9); 12. Direito à integridade 22 (2,8); 13. Diversos 129 (19,4). (EYNG, 2013).</w:t>
      </w:r>
    </w:p>
    <w:p w:rsidR="000F62EF" w:rsidRDefault="000F62EF">
      <w:pPr>
        <w:spacing w:line="240" w:lineRule="auto"/>
        <w:ind w:left="2127"/>
        <w:jc w:val="both"/>
        <w:rPr>
          <w:sz w:val="20"/>
          <w:szCs w:val="20"/>
          <w:lang w:val="pt-BR"/>
        </w:rPr>
      </w:pP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As manifestações, na segunda fase, indicam uma pequena alteração na reflexão dos participantes sobre as diferentes alternativas apresentadas no formulário, produzindo novas percepções. Após ponderarem sobre </w:t>
      </w:r>
      <w:r>
        <w:rPr>
          <w:b/>
          <w:szCs w:val="24"/>
          <w:lang w:val="pt-BR"/>
        </w:rPr>
        <w:t>como cada alternativa pode contribuir para viabilizar a efetivação dos direitos humanos na escola,</w:t>
      </w:r>
      <w:r>
        <w:rPr>
          <w:szCs w:val="24"/>
          <w:lang w:val="pt-BR"/>
        </w:rPr>
        <w:t xml:space="preserve"> os estudantes foram solicitados a escolherem entre as categorias apresentadas, indicando qual das alternativas melhor define direitos humanos na escola. 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>Como categoria ainda bastante valorizada a igualdade, que pode traduzir uma concepção conservadora e excludente em relação aos direitos humanos. Por outro lado, ainda bastante valorizada o d</w:t>
      </w:r>
      <w:r>
        <w:rPr>
          <w:b/>
          <w:szCs w:val="24"/>
          <w:lang w:val="pt-BR"/>
        </w:rPr>
        <w:t xml:space="preserve">ireito à educação de qualidade. </w:t>
      </w:r>
      <w:r>
        <w:rPr>
          <w:szCs w:val="24"/>
          <w:lang w:val="pt-BR"/>
        </w:rPr>
        <w:t xml:space="preserve"> </w:t>
      </w:r>
    </w:p>
    <w:p w:rsidR="000F62EF" w:rsidRDefault="000F62EF">
      <w:pPr>
        <w:ind w:firstLine="708"/>
        <w:jc w:val="both"/>
        <w:rPr>
          <w:szCs w:val="24"/>
          <w:lang w:val="pt-BR"/>
        </w:rPr>
      </w:pPr>
    </w:p>
    <w:p w:rsidR="000F62EF" w:rsidRDefault="00E418E3">
      <w:pPr>
        <w:spacing w:line="240" w:lineRule="auto"/>
        <w:ind w:left="2127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igualdade - </w:t>
      </w:r>
      <w:r>
        <w:rPr>
          <w:sz w:val="20"/>
          <w:szCs w:val="20"/>
          <w:lang w:val="pt-BR"/>
        </w:rPr>
        <w:t xml:space="preserve">Direito humano na escola é tratamento igualitário sem distinção ou discriminação. 86 (20,8%); </w:t>
      </w:r>
    </w:p>
    <w:p w:rsidR="000F62EF" w:rsidRDefault="00E418E3">
      <w:pPr>
        <w:spacing w:line="240" w:lineRule="auto"/>
        <w:ind w:left="2124"/>
        <w:jc w:val="both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Direito à educação de qualidade -</w:t>
      </w:r>
      <w:r>
        <w:rPr>
          <w:sz w:val="20"/>
          <w:szCs w:val="20"/>
          <w:lang w:val="pt-BR"/>
        </w:rPr>
        <w:t xml:space="preserve"> Direito humano na escola é a garantia a uma educação de qualidade, professores e infraestrutura adequada. 68 (16,5%);</w:t>
      </w:r>
    </w:p>
    <w:p w:rsidR="000F62EF" w:rsidRDefault="00E418E3">
      <w:pPr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liberdade de expressão - </w:t>
      </w:r>
      <w:r>
        <w:rPr>
          <w:sz w:val="20"/>
          <w:szCs w:val="20"/>
          <w:lang w:val="pt-BR"/>
        </w:rPr>
        <w:t>Direito humano na escola é o direito de questionar, se expressar livremente e participar nas diferentes atividades. 36 (8,7%);</w:t>
      </w:r>
    </w:p>
    <w:p w:rsidR="000F62EF" w:rsidRDefault="00E418E3">
      <w:pPr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inclusão - </w:t>
      </w:r>
      <w:r>
        <w:rPr>
          <w:sz w:val="20"/>
          <w:szCs w:val="20"/>
          <w:lang w:val="pt-BR"/>
        </w:rPr>
        <w:t>Direito humano na escola é a inclusão, considerando as características individuais. 34 (8,2%);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lastRenderedPageBreak/>
        <w:t xml:space="preserve">Direito à diferença - </w:t>
      </w:r>
      <w:r>
        <w:rPr>
          <w:sz w:val="20"/>
          <w:szCs w:val="20"/>
          <w:lang w:val="pt-BR"/>
        </w:rPr>
        <w:t>Direito humano na escola é a garantia de respeito às características individuais que diferenciam cada um. 33 (8,0%);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proteção </w:t>
      </w:r>
      <w:r>
        <w:rPr>
          <w:sz w:val="20"/>
          <w:szCs w:val="20"/>
          <w:lang w:val="pt-BR"/>
        </w:rPr>
        <w:t>- Direito humano na escola são aqueles que protegem, preservam e asseguram a integridade individual e coletiva. 29 (7,0%);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ao respeito - </w:t>
      </w:r>
      <w:r>
        <w:rPr>
          <w:sz w:val="20"/>
          <w:szCs w:val="20"/>
          <w:lang w:val="pt-BR"/>
        </w:rPr>
        <w:t>Direito humano na escola é o respeito mútuo entre os participantes da comunidade escolar. 26 (6,3%);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integridade - </w:t>
      </w:r>
      <w:r>
        <w:rPr>
          <w:sz w:val="20"/>
          <w:szCs w:val="20"/>
          <w:lang w:val="pt-BR"/>
        </w:rPr>
        <w:t>Direito humano na escola é a garantia da integridade das pessoas na comunidade escolar. 21 (5,1%);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ao desenvolvimento integral - </w:t>
      </w:r>
      <w:r>
        <w:rPr>
          <w:sz w:val="20"/>
          <w:szCs w:val="20"/>
          <w:lang w:val="pt-BR"/>
        </w:rPr>
        <w:t>Direito humano na escola é a garantia do desenvolvimento integral do estudante. 20 (4,8%);</w:t>
      </w:r>
    </w:p>
    <w:p w:rsidR="000F62EF" w:rsidRDefault="00E418E3">
      <w:pPr>
        <w:spacing w:line="240" w:lineRule="auto"/>
        <w:ind w:left="2124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Determinação, normatização moral - </w:t>
      </w:r>
      <w:r>
        <w:rPr>
          <w:sz w:val="20"/>
          <w:szCs w:val="20"/>
          <w:lang w:val="pt-BR"/>
        </w:rPr>
        <w:t>Direito humano na escola são leis, estatutos, regras, normas legais e morais que visam garantir a convivência. 17 (4,1%);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à convivência – </w:t>
      </w:r>
      <w:r>
        <w:rPr>
          <w:sz w:val="20"/>
          <w:szCs w:val="20"/>
          <w:lang w:val="pt-BR"/>
        </w:rPr>
        <w:t>Direito humano na escola é a garantia de convivência respeitosa entre as pessoas no ambiente escolar. 15 (3,6%);</w:t>
      </w:r>
    </w:p>
    <w:p w:rsidR="000F62EF" w:rsidRDefault="00E418E3">
      <w:pPr>
        <w:spacing w:line="240" w:lineRule="auto"/>
        <w:ind w:left="2124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Direito ao acesso - </w:t>
      </w:r>
      <w:r>
        <w:rPr>
          <w:sz w:val="20"/>
          <w:szCs w:val="20"/>
          <w:lang w:val="pt-BR"/>
        </w:rPr>
        <w:t>Direito humano na escola é o acesso a diferentes espaços, atividades e materiais para todos. 15 (3,6%);</w:t>
      </w:r>
    </w:p>
    <w:p w:rsidR="000F62EF" w:rsidRDefault="00E418E3">
      <w:pPr>
        <w:spacing w:line="240" w:lineRule="auto"/>
        <w:ind w:left="2124"/>
        <w:jc w:val="both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Não resposta e outros - </w:t>
      </w:r>
      <w:r>
        <w:rPr>
          <w:sz w:val="20"/>
          <w:szCs w:val="20"/>
          <w:lang w:val="pt-BR"/>
        </w:rPr>
        <w:t>26 (6,3%). (EYNG, 2013).</w:t>
      </w:r>
    </w:p>
    <w:p w:rsidR="000F62EF" w:rsidRDefault="000F62EF">
      <w:pPr>
        <w:ind w:firstLine="708"/>
        <w:jc w:val="both"/>
        <w:rPr>
          <w:szCs w:val="24"/>
          <w:lang w:val="pt-BR"/>
        </w:rPr>
      </w:pP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Os posicionamentos juvenis esboçam tanto as suas crenças sobre o que entendem acerca da garantia dos direitos humanos, quanto apresentam indícios de denúncia acerca da negação e violação dos direitos humanos na sociedade e nas escolas. Se destaca nesse grupo de estudantes a presença da valorização e ou expectativa quanto ao </w:t>
      </w:r>
      <w:r>
        <w:rPr>
          <w:b/>
          <w:szCs w:val="24"/>
          <w:lang w:val="pt-BR"/>
        </w:rPr>
        <w:t xml:space="preserve">direito a ser respeitado e o direito de questionar, se expressar </w:t>
      </w:r>
      <w:r>
        <w:rPr>
          <w:szCs w:val="24"/>
          <w:lang w:val="pt-BR"/>
        </w:rPr>
        <w:t xml:space="preserve">na escola, observados em manifestações de estudantes da educação básica ouvidos em pesquisa anteriores. Portanto, ecoam nessas percepções juvenis as mesmas indicações de violações de direitos. 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>As percepções juvenis</w:t>
      </w:r>
      <w:r>
        <w:rPr>
          <w:b/>
          <w:szCs w:val="24"/>
          <w:lang w:val="pt-BR"/>
        </w:rPr>
        <w:t xml:space="preserve"> </w:t>
      </w:r>
      <w:r>
        <w:rPr>
          <w:szCs w:val="24"/>
          <w:lang w:val="pt-BR"/>
        </w:rPr>
        <w:t>trazem muitos elementos para que possamos</w:t>
      </w:r>
      <w:r>
        <w:rPr>
          <w:b/>
          <w:szCs w:val="24"/>
          <w:lang w:val="pt-BR"/>
        </w:rPr>
        <w:t xml:space="preserve"> </w:t>
      </w:r>
      <w:r>
        <w:rPr>
          <w:szCs w:val="24"/>
          <w:lang w:val="pt-BR"/>
        </w:rPr>
        <w:t>repensar os currículos e pautá-los em concepções interdisciplinares de educação em direitos humanos, capazes de materializar um trabalho coletivo transversal de diálogo intercultural. “O desafio coletivo da construção de concepções e práticas interculturais de direitos humanos abrange os jovens em formação, como sujeitos de direitos, interlocutores e destinatários de propostas curriculares” (EYNG, 2014, p. 190).</w:t>
      </w:r>
    </w:p>
    <w:p w:rsidR="000F62EF" w:rsidRDefault="00E418E3">
      <w:pPr>
        <w:ind w:firstLine="708"/>
        <w:jc w:val="both"/>
      </w:pPr>
      <w:r>
        <w:rPr>
          <w:szCs w:val="24"/>
          <w:lang w:val="pt-BR"/>
        </w:rPr>
        <w:t xml:space="preserve">No que se refere ao campo do currículo essa é uma questão crucial, converter os estudantes efetivamente em sujeitos que constroem em parceria o seu itinerário formativo, coautores, protagonistas de seus projetos de desenvolvimento profissional, sendo a graduação a etapa inicial e decisiva nessa trajetória. </w:t>
      </w:r>
    </w:p>
    <w:p w:rsidR="000F62EF" w:rsidRDefault="00E418E3">
      <w:pPr>
        <w:ind w:firstLine="708"/>
        <w:jc w:val="both"/>
        <w:rPr>
          <w:rFonts w:eastAsia="Times New Roman"/>
          <w:szCs w:val="24"/>
          <w:lang w:val="pt-BR" w:eastAsia="pt-BR"/>
        </w:rPr>
      </w:pPr>
      <w:r>
        <w:rPr>
          <w:rFonts w:eastAsia="Times New Roman"/>
          <w:szCs w:val="24"/>
          <w:lang w:val="pt-BR" w:eastAsia="pt-BR"/>
        </w:rPr>
        <w:t xml:space="preserve">Nessa direção, buscamos ouvir as percepções dos estudantes sobre os currículos nos quais estão inseridos. Assim, a terceira indagação feita aos estudantes versou sobre se há a presença da temática dos direitos humanos no currículo de seus cursos, devendo responder primeiramente sim ou não. Nesse momento, as respostas afirmativas foram de 494 (81,4%) e 103 (17%) que responderam negativamente e 10 (1,7%) não responderam à questão. Nessas respostas, na primeira fase as percepções indicaram uma visão bastante positiva e ingênua em </w:t>
      </w:r>
      <w:r>
        <w:rPr>
          <w:rFonts w:eastAsia="Times New Roman"/>
          <w:szCs w:val="24"/>
          <w:lang w:val="pt-BR" w:eastAsia="pt-BR"/>
        </w:rPr>
        <w:lastRenderedPageBreak/>
        <w:t xml:space="preserve">relação aos currículos dos seus respectivos cursos. Isso se evidenciou quando grande parte não soube responder na sequência a questão que lhes pedia: em caso afirmativo, indique a forma como é trabalhado no curso. Apenas 218 indicaram uma forma como seria abordado, ou seja, 286 (47,12%) dos participantes não soube responder. Ainda assim, dos que responderam a grande parte das indicações foi bastante genérica: </w:t>
      </w:r>
    </w:p>
    <w:p w:rsidR="000F62EF" w:rsidRDefault="000F62EF">
      <w:pPr>
        <w:ind w:firstLine="708"/>
        <w:jc w:val="both"/>
        <w:rPr>
          <w:rFonts w:eastAsia="Times New Roman"/>
          <w:szCs w:val="24"/>
          <w:lang w:val="pt-BR" w:eastAsia="pt-BR"/>
        </w:rPr>
      </w:pPr>
    </w:p>
    <w:p w:rsidR="000F62EF" w:rsidRDefault="00E418E3">
      <w:pPr>
        <w:spacing w:line="240" w:lineRule="auto"/>
        <w:ind w:left="2124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1. Temas específicos em uma ou mais disciplinas 70 (28,9%); 2. Disciplinas específicas, trabalho disciplinar 54 (22,3%); 3. Princípios aplicados à uma disciplina; 38 (15,7%); 3. Abordagem "transversal", trabalho integrado 22 (9,1); 4. Vivência cotidiana, aplicação em situações das práticas profissionais e estágios 11 (4,6%); 5. Diversos: Estratégias, ações pontuais; Orientação, aplicação feita por professores do curso; trabalho alternado, Perspectiva de abordagem em disciplinas futuras. 23 (9,5%); 6. Não resposta 24 (9,9). (EYNG, 2013).</w:t>
      </w:r>
    </w:p>
    <w:p w:rsidR="000F62EF" w:rsidRDefault="000F62EF">
      <w:pPr>
        <w:spacing w:line="240" w:lineRule="auto"/>
        <w:ind w:left="2124"/>
        <w:jc w:val="both"/>
        <w:rPr>
          <w:rFonts w:eastAsia="Times New Roman"/>
          <w:sz w:val="20"/>
          <w:szCs w:val="20"/>
          <w:lang w:val="pt-BR" w:eastAsia="pt-BR"/>
        </w:rPr>
      </w:pPr>
    </w:p>
    <w:p w:rsidR="000F62EF" w:rsidRDefault="00E418E3">
      <w:pPr>
        <w:ind w:firstLine="708"/>
        <w:jc w:val="both"/>
      </w:pPr>
      <w:r>
        <w:rPr>
          <w:rFonts w:eastAsia="Times New Roman"/>
          <w:szCs w:val="24"/>
          <w:lang w:val="pt-BR" w:eastAsia="pt-BR"/>
        </w:rPr>
        <w:t xml:space="preserve">Diante das respostas obtidas nessa questão adotamos, além das indicações dos estudantes, as orientações da Resolução n. 01/2012 na qual constatamos uma contradição, ou melhor uma duplicidade quanto à forma de inserção da educação em direitos humanos. No artigo </w:t>
      </w:r>
      <w:r>
        <w:rPr>
          <w:lang w:val="pt-BR"/>
        </w:rPr>
        <w:t xml:space="preserve">Art. 6º está definida a abordagem transversal. </w:t>
      </w:r>
    </w:p>
    <w:p w:rsidR="000F62EF" w:rsidRDefault="000F62EF">
      <w:pPr>
        <w:ind w:firstLine="708"/>
        <w:jc w:val="both"/>
        <w:rPr>
          <w:rFonts w:eastAsia="Times New Roman"/>
          <w:szCs w:val="24"/>
          <w:lang w:val="pt-BR" w:eastAsia="pt-BR"/>
        </w:rPr>
      </w:pPr>
    </w:p>
    <w:p w:rsidR="000F62EF" w:rsidRDefault="00E418E3">
      <w:pPr>
        <w:spacing w:line="240" w:lineRule="auto"/>
        <w:ind w:left="2268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 Educação em Direitos Humanos, </w:t>
      </w:r>
      <w:r>
        <w:rPr>
          <w:b/>
          <w:sz w:val="20"/>
          <w:szCs w:val="20"/>
          <w:lang w:val="pt-BR"/>
        </w:rPr>
        <w:t>de modo transversal</w:t>
      </w:r>
      <w:r>
        <w:rPr>
          <w:sz w:val="20"/>
          <w:szCs w:val="20"/>
          <w:lang w:val="pt-BR"/>
        </w:rPr>
        <w:t xml:space="preserve">, deverá ser considerada na construção dos Projetos Político-Pedagógicos (PPP); dos Regimentos Escolares; dos Planos de Desenvolvimento Institucionais (PDI); dos Programas Pedagógicos de Curso (PPC) das Instituições de Educação Superior; dos materiais didáticos e pedagógicos; do modelo de ensino, pesquisa e extensão; de gestão, bem como dos diferentes processos de avaliação. (BRASIL, 2012b grifos meus) </w:t>
      </w:r>
    </w:p>
    <w:p w:rsidR="000F62EF" w:rsidRDefault="000F62EF">
      <w:pPr>
        <w:ind w:firstLine="708"/>
        <w:jc w:val="both"/>
        <w:rPr>
          <w:rFonts w:eastAsia="Times New Roman"/>
          <w:szCs w:val="24"/>
          <w:lang w:val="pt-BR" w:eastAsia="pt-BR"/>
        </w:rPr>
      </w:pPr>
    </w:p>
    <w:p w:rsidR="000F62EF" w:rsidRDefault="00E418E3">
      <w:pPr>
        <w:ind w:firstLine="708"/>
        <w:jc w:val="both"/>
      </w:pPr>
      <w:r>
        <w:rPr>
          <w:rFonts w:eastAsia="Times New Roman"/>
          <w:szCs w:val="24"/>
          <w:lang w:val="pt-BR" w:eastAsia="pt-BR"/>
        </w:rPr>
        <w:t>Enquanto nesse artigo a</w:t>
      </w:r>
      <w:r>
        <w:rPr>
          <w:lang w:val="pt-BR"/>
        </w:rPr>
        <w:t xml:space="preserve"> transversalidade como a forma conceber e trabalhar a Educação em Direitos Humanos esboça uma perspectiva curricular capaz de dialogar com os contextos e sobretudo com os sujeitos que os significam. No artigo 7º da mesma resolução, além de reduzir a educação em direitos humanos apenas aos conhecimentos (ignorando os valores, atitudes e práticas), autoriza as mais variadas possibilidades, remetendo inclusive à opções curriculares tradicionais, conteudistas. </w:t>
      </w:r>
    </w:p>
    <w:p w:rsidR="000F62EF" w:rsidRDefault="000F62EF">
      <w:pPr>
        <w:ind w:firstLine="708"/>
        <w:jc w:val="both"/>
        <w:rPr>
          <w:lang w:val="pt-BR"/>
        </w:rPr>
      </w:pPr>
    </w:p>
    <w:p w:rsidR="000F62EF" w:rsidRDefault="00E418E3">
      <w:pPr>
        <w:spacing w:line="240" w:lineRule="auto"/>
        <w:ind w:left="2268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 </w:t>
      </w:r>
      <w:r>
        <w:rPr>
          <w:b/>
          <w:sz w:val="20"/>
          <w:szCs w:val="20"/>
          <w:lang w:val="pt-BR"/>
        </w:rPr>
        <w:t>inserção dos conhecimentos concernentes à Educação em Direitos Humanos</w:t>
      </w:r>
      <w:r>
        <w:rPr>
          <w:sz w:val="20"/>
          <w:szCs w:val="20"/>
          <w:lang w:val="pt-BR"/>
        </w:rPr>
        <w:t xml:space="preserve"> na organização dos currículos da Educação Básica e da Educação Superior </w:t>
      </w:r>
      <w:r>
        <w:rPr>
          <w:b/>
          <w:sz w:val="20"/>
          <w:szCs w:val="20"/>
          <w:lang w:val="pt-BR"/>
        </w:rPr>
        <w:t>poderá ocorrer das seguintes formas</w:t>
      </w:r>
      <w:r>
        <w:rPr>
          <w:sz w:val="20"/>
          <w:szCs w:val="20"/>
          <w:lang w:val="pt-BR"/>
        </w:rPr>
        <w:t xml:space="preserve">: I - pela </w:t>
      </w:r>
      <w:r>
        <w:rPr>
          <w:b/>
          <w:sz w:val="20"/>
          <w:szCs w:val="20"/>
          <w:lang w:val="pt-BR"/>
        </w:rPr>
        <w:t>transversalidade</w:t>
      </w:r>
      <w:r>
        <w:rPr>
          <w:sz w:val="20"/>
          <w:szCs w:val="20"/>
          <w:lang w:val="pt-BR"/>
        </w:rPr>
        <w:t xml:space="preserve">, por meio de temas relacionados aos Direitos Humanos e tratados interdisciplinarmente; II - </w:t>
      </w:r>
      <w:r>
        <w:rPr>
          <w:b/>
          <w:sz w:val="20"/>
          <w:szCs w:val="20"/>
          <w:lang w:val="pt-BR"/>
        </w:rPr>
        <w:t>como um conteúdo específico</w:t>
      </w:r>
      <w:r>
        <w:rPr>
          <w:sz w:val="20"/>
          <w:szCs w:val="20"/>
          <w:lang w:val="pt-BR"/>
        </w:rPr>
        <w:t xml:space="preserve"> de uma das disciplinas já existentes no currículo escolar; III - </w:t>
      </w:r>
      <w:r>
        <w:rPr>
          <w:b/>
          <w:sz w:val="20"/>
          <w:szCs w:val="20"/>
          <w:lang w:val="pt-BR"/>
        </w:rPr>
        <w:t>de maneira mista</w:t>
      </w:r>
      <w:r>
        <w:rPr>
          <w:sz w:val="20"/>
          <w:szCs w:val="20"/>
          <w:lang w:val="pt-BR"/>
        </w:rPr>
        <w:t xml:space="preserve">, ou seja, combinando transversalidade e </w:t>
      </w:r>
      <w:proofErr w:type="spellStart"/>
      <w:r>
        <w:rPr>
          <w:sz w:val="20"/>
          <w:szCs w:val="20"/>
          <w:lang w:val="pt-BR"/>
        </w:rPr>
        <w:t>disciplinaridade</w:t>
      </w:r>
      <w:proofErr w:type="spellEnd"/>
      <w:r>
        <w:rPr>
          <w:sz w:val="20"/>
          <w:szCs w:val="20"/>
          <w:lang w:val="pt-BR"/>
        </w:rPr>
        <w:t xml:space="preserve">. Parágrafo único. </w:t>
      </w:r>
      <w:r>
        <w:rPr>
          <w:b/>
          <w:sz w:val="20"/>
          <w:szCs w:val="20"/>
          <w:lang w:val="pt-BR"/>
        </w:rPr>
        <w:t>Outras formas de inserção da Educação em Direitos Humanos poderão ainda ser admitidas</w:t>
      </w:r>
      <w:r>
        <w:rPr>
          <w:sz w:val="20"/>
          <w:szCs w:val="20"/>
          <w:lang w:val="pt-BR"/>
        </w:rPr>
        <w:t xml:space="preserve"> na organização curricular [...]. (BRASIL, 2012b, grifos meus).</w:t>
      </w:r>
    </w:p>
    <w:p w:rsidR="000F62EF" w:rsidRDefault="000F62EF">
      <w:pPr>
        <w:ind w:firstLine="708"/>
        <w:jc w:val="both"/>
        <w:rPr>
          <w:lang w:val="pt-BR"/>
        </w:rPr>
      </w:pPr>
    </w:p>
    <w:p w:rsidR="000F62EF" w:rsidRDefault="00E418E3">
      <w:pPr>
        <w:ind w:firstLine="708"/>
        <w:jc w:val="both"/>
      </w:pPr>
      <w:r>
        <w:rPr>
          <w:lang w:val="pt-BR"/>
        </w:rPr>
        <w:lastRenderedPageBreak/>
        <w:t xml:space="preserve">Por essa razão, a relevância da discussão sobre a forma da inserção da Educação em direitos humanos no currículo se torna ainda mais estratégica, abrange tanto as concepções sobre direitos humanos, o direito à educação, quanto as concepções sobre o currículo. Na sistematização do formulário da segunda fase, incorporamos as formas previstas no artigo sétimo da resolução às formas indicadas pelos estudantes na primeira fase quanto ao que identificam nos seus cursos. </w:t>
      </w:r>
    </w:p>
    <w:p w:rsidR="000F62EF" w:rsidRDefault="00E418E3">
      <w:pPr>
        <w:ind w:firstLine="708"/>
        <w:jc w:val="both"/>
        <w:rPr>
          <w:rFonts w:eastAsia="Times New Roman"/>
          <w:szCs w:val="24"/>
          <w:lang w:val="pt-BR" w:eastAsia="pt-BR"/>
        </w:rPr>
      </w:pPr>
      <w:r>
        <w:rPr>
          <w:lang w:val="pt-BR"/>
        </w:rPr>
        <w:t>Nessa fase os participantes destacam uma outra ordem para a inserção da Educação em direitos humanos no currículo.</w:t>
      </w:r>
    </w:p>
    <w:p w:rsidR="000F62EF" w:rsidRDefault="00E418E3">
      <w:pPr>
        <w:tabs>
          <w:tab w:val="left" w:pos="-2"/>
        </w:tabs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Trabalho integrado </w:t>
      </w:r>
      <w:r>
        <w:rPr>
          <w:sz w:val="20"/>
          <w:szCs w:val="20"/>
          <w:lang w:val="pt-BR"/>
        </w:rPr>
        <w:t>- abordagem "transversal"</w:t>
      </w:r>
      <w:r>
        <w:rPr>
          <w:b/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em todas as disciplinas do curso pela transversalidade, por meio de temas relacionados aos Direitos Humanos, Justiça e Convivência tratados interdisciplinarmente;</w:t>
      </w:r>
    </w:p>
    <w:p w:rsidR="000F62EF" w:rsidRDefault="00E418E3">
      <w:pPr>
        <w:tabs>
          <w:tab w:val="left" w:pos="-2"/>
        </w:tabs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Aplicação de princípios</w:t>
      </w:r>
      <w:r>
        <w:rPr>
          <w:sz w:val="20"/>
          <w:szCs w:val="20"/>
          <w:lang w:val="pt-BR"/>
        </w:rPr>
        <w:t xml:space="preserve"> - em situações profissionais e na formação;</w:t>
      </w:r>
    </w:p>
    <w:p w:rsidR="000F62EF" w:rsidRDefault="00E418E3">
      <w:pPr>
        <w:tabs>
          <w:tab w:val="left" w:pos="-2"/>
        </w:tabs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Vivência</w:t>
      </w:r>
      <w:r>
        <w:rPr>
          <w:sz w:val="20"/>
          <w:szCs w:val="20"/>
          <w:lang w:val="pt-BR"/>
        </w:rPr>
        <w:t xml:space="preserve"> </w:t>
      </w:r>
      <w:r>
        <w:rPr>
          <w:b/>
          <w:sz w:val="20"/>
          <w:szCs w:val="20"/>
          <w:lang w:val="pt-BR"/>
        </w:rPr>
        <w:t>cotidiana</w:t>
      </w:r>
      <w:r>
        <w:rPr>
          <w:sz w:val="20"/>
          <w:szCs w:val="20"/>
          <w:lang w:val="pt-BR"/>
        </w:rPr>
        <w:t xml:space="preserve"> - convivência no curso pautada nos direitos e na justiça;</w:t>
      </w:r>
    </w:p>
    <w:p w:rsidR="000F62EF" w:rsidRDefault="00E418E3">
      <w:pPr>
        <w:tabs>
          <w:tab w:val="left" w:pos="-2"/>
        </w:tabs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Trabalho alternado</w:t>
      </w:r>
      <w:r>
        <w:rPr>
          <w:sz w:val="20"/>
          <w:szCs w:val="20"/>
          <w:lang w:val="pt-BR"/>
        </w:rPr>
        <w:t xml:space="preserve"> - abordado de modo misto, ou seja, combinando transversalidade e </w:t>
      </w:r>
      <w:proofErr w:type="spellStart"/>
      <w:r>
        <w:rPr>
          <w:sz w:val="20"/>
          <w:szCs w:val="20"/>
          <w:lang w:val="pt-BR"/>
        </w:rPr>
        <w:t>disciplinaridade</w:t>
      </w:r>
      <w:proofErr w:type="spellEnd"/>
      <w:r>
        <w:rPr>
          <w:sz w:val="20"/>
          <w:szCs w:val="20"/>
          <w:lang w:val="pt-BR"/>
        </w:rPr>
        <w:t>;</w:t>
      </w:r>
    </w:p>
    <w:p w:rsidR="000F62EF" w:rsidRDefault="00E418E3">
      <w:pPr>
        <w:tabs>
          <w:tab w:val="left" w:pos="-2"/>
        </w:tabs>
        <w:spacing w:line="240" w:lineRule="auto"/>
        <w:ind w:left="212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Temas específicos</w:t>
      </w:r>
      <w:r>
        <w:rPr>
          <w:sz w:val="20"/>
          <w:szCs w:val="20"/>
          <w:lang w:val="pt-BR"/>
        </w:rPr>
        <w:t xml:space="preserve"> - abordado como um conteúdo específico de uma ou mais disciplinas já existentes no currículo do curso;</w:t>
      </w:r>
    </w:p>
    <w:p w:rsidR="000F62EF" w:rsidRDefault="00E418E3">
      <w:pPr>
        <w:tabs>
          <w:tab w:val="left" w:pos="-2"/>
        </w:tabs>
        <w:spacing w:line="240" w:lineRule="auto"/>
        <w:ind w:left="2124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Trabalho Disciplinar -  </w:t>
      </w:r>
      <w:r>
        <w:rPr>
          <w:sz w:val="20"/>
          <w:szCs w:val="20"/>
          <w:lang w:val="pt-BR"/>
        </w:rPr>
        <w:t>abordagem de uma disciplina específica a ser inserida no currículo. (EYNG, 2013)</w:t>
      </w:r>
    </w:p>
    <w:p w:rsidR="000F62EF" w:rsidRDefault="000F62EF">
      <w:pPr>
        <w:tabs>
          <w:tab w:val="left" w:pos="-2"/>
        </w:tabs>
        <w:spacing w:line="240" w:lineRule="auto"/>
        <w:ind w:left="2124"/>
        <w:rPr>
          <w:b/>
          <w:sz w:val="20"/>
          <w:szCs w:val="20"/>
          <w:lang w:val="pt-BR"/>
        </w:rPr>
      </w:pPr>
    </w:p>
    <w:p w:rsidR="000F62EF" w:rsidRDefault="00E418E3">
      <w:pPr>
        <w:ind w:firstLine="708"/>
        <w:jc w:val="both"/>
        <w:rPr>
          <w:lang w:val="pt-BR"/>
        </w:rPr>
      </w:pPr>
      <w:r>
        <w:rPr>
          <w:lang w:val="pt-BR"/>
        </w:rPr>
        <w:t xml:space="preserve">As repostas da segunda fase, que destacam em primeiro lugar a abordagem interdisciplinar para a educação em direitos humanos no currículo, são particularmente alentadoras para que se possa gradativamente pensar e desenvolver coletivamente outras possibilidades identitárias um currículo que entabule o diálogo intercultural. Assim, a educação em direitos humanos nos currículos dos cursos de graduação poderá pautar “[...] a igualdade e a diferença no diálogo intercultural das diversas linguagens, saberes e racionalidades de professores e estudantes, num processo pedagógico inclusivo e emancipatório” (EYNG, 2014, p.206).  </w:t>
      </w:r>
      <w:r>
        <w:rPr>
          <w:szCs w:val="24"/>
          <w:lang w:val="pt-BR"/>
        </w:rPr>
        <w:t xml:space="preserve">Nessa direção, a garantia do direito à educação requer que a escola de educação superior se constitua como </w:t>
      </w:r>
      <w:proofErr w:type="spellStart"/>
      <w:r>
        <w:rPr>
          <w:i/>
          <w:szCs w:val="24"/>
          <w:lang w:val="pt-BR"/>
        </w:rPr>
        <w:t>espaçotempo</w:t>
      </w:r>
      <w:proofErr w:type="spellEnd"/>
      <w:r>
        <w:rPr>
          <w:i/>
          <w:szCs w:val="24"/>
          <w:lang w:val="pt-BR"/>
        </w:rPr>
        <w:t>,</w:t>
      </w:r>
      <w:r>
        <w:rPr>
          <w:szCs w:val="24"/>
          <w:lang w:val="pt-BR"/>
        </w:rPr>
        <w:t xml:space="preserve"> por meio do qual “os fenômenos da desigualdade e da exclusão possam ser melhor compreendidos e superados”</w:t>
      </w:r>
      <w:r>
        <w:rPr>
          <w:lang w:val="pt-BR"/>
        </w:rPr>
        <w:t xml:space="preserve"> (EYNG, 2014, p.207).</w:t>
      </w:r>
    </w:p>
    <w:p w:rsidR="000F62EF" w:rsidRDefault="000F62EF">
      <w:pPr>
        <w:ind w:firstLine="708"/>
        <w:jc w:val="both"/>
        <w:rPr>
          <w:lang w:val="pt-BR"/>
        </w:rPr>
      </w:pPr>
    </w:p>
    <w:p w:rsidR="000F62EF" w:rsidRDefault="00E418E3">
      <w:pPr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>Constatações - Considerações Finais</w:t>
      </w:r>
    </w:p>
    <w:p w:rsidR="000F62EF" w:rsidRDefault="000F62EF">
      <w:pPr>
        <w:ind w:firstLine="708"/>
        <w:jc w:val="both"/>
        <w:rPr>
          <w:lang w:val="pt-BR"/>
        </w:rPr>
      </w:pP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lang w:val="pt-BR"/>
        </w:rPr>
        <w:t xml:space="preserve">A educação em direitos humanos nos currículos dos cursos de graduação supõe o trabalho transversal que contemple </w:t>
      </w:r>
      <w:r>
        <w:rPr>
          <w:bCs/>
        </w:rPr>
        <w:t>a) saber-conhecimentos;</w:t>
      </w:r>
      <w:r>
        <w:rPr>
          <w:bCs/>
          <w:lang w:val="pt-BR"/>
        </w:rPr>
        <w:t xml:space="preserve"> b) sentir- valores, </w:t>
      </w:r>
      <w:proofErr w:type="gramStart"/>
      <w:r>
        <w:rPr>
          <w:bCs/>
          <w:lang w:val="pt-BR"/>
        </w:rPr>
        <w:t xml:space="preserve">atitudes;   </w:t>
      </w:r>
      <w:proofErr w:type="gramEnd"/>
      <w:r>
        <w:rPr>
          <w:bCs/>
          <w:lang w:val="pt-BR"/>
        </w:rPr>
        <w:t xml:space="preserve">                       c) fazer – ações,</w:t>
      </w:r>
      <w:r>
        <w:rPr>
          <w:b/>
          <w:bCs/>
          <w:lang w:val="pt-BR"/>
        </w:rPr>
        <w:t xml:space="preserve"> </w:t>
      </w:r>
      <w:r>
        <w:rPr>
          <w:bCs/>
          <w:lang w:val="pt-BR"/>
        </w:rPr>
        <w:t>implicados na</w:t>
      </w:r>
      <w:r>
        <w:rPr>
          <w:b/>
          <w:bCs/>
          <w:lang w:val="pt-BR"/>
        </w:rPr>
        <w:t xml:space="preserve"> </w:t>
      </w:r>
      <w:r>
        <w:rPr>
          <w:rFonts w:eastAsia="Times New Roman"/>
          <w:szCs w:val="24"/>
          <w:lang w:val="pt-BR" w:eastAsia="pt-BR"/>
        </w:rPr>
        <w:t xml:space="preserve">afirmação, proteção e garantia de direitos na educação superior. </w:t>
      </w:r>
      <w:r>
        <w:rPr>
          <w:szCs w:val="24"/>
          <w:lang w:val="pt-BR"/>
        </w:rPr>
        <w:t xml:space="preserve">Essa é a linha das proposições das políticas de direitos humanos nacionais e internacionais. </w:t>
      </w:r>
    </w:p>
    <w:p w:rsidR="000F62EF" w:rsidRDefault="00E418E3">
      <w:pPr>
        <w:ind w:firstLine="708"/>
        <w:jc w:val="both"/>
        <w:rPr>
          <w:rFonts w:eastAsia="Times New Roman"/>
          <w:szCs w:val="24"/>
          <w:lang w:val="pt-BR" w:eastAsia="pt-BR"/>
        </w:rPr>
      </w:pPr>
      <w:r>
        <w:rPr>
          <w:szCs w:val="24"/>
          <w:lang w:val="pt-BR"/>
        </w:rPr>
        <w:t xml:space="preserve">Entretanto, a análise indica que os ideais expressos nas políticas estão muito distantes das realidades contemporâneas que tem agudizado os quadros da exclusão, das desigualdades. </w:t>
      </w:r>
      <w:r>
        <w:rPr>
          <w:szCs w:val="24"/>
          <w:lang w:val="pt-BR"/>
        </w:rPr>
        <w:lastRenderedPageBreak/>
        <w:t>Essas constatações são apresentadas nos diagnósticos que os próprios organismos internacionais difundem.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Os resultados do estudo permitem destacar traços que configuram uma escola ambígua, cujos alinhamentos tanto aos propósitos democráticos quanto aos propósitos neoliberais produzem uma identidade esquizofrênica, cindida entre textos, discursos e práticas conflitantes. Destacamos, desse contexto, a configuração de uma das faces da escola esculpida pelas políticas de avaliação que atuam como determinante em práticas escolares nas quais se produzem processos competitivos, individualistas, hegemônicos e performativos. Essa face tem sido reforçada nos últimos anos em virtude da violação do direito à educação. 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>E a outra face, ainda bastante frágil, em muitos países, entre os quais o Brasil, que tem se mantido mais no campo dos discursos e textos políticos do que no campo das práticas de garantia efetiva. Portanto, se mantém atual a constatação de Bobbio (2004, p. 16): “o</w:t>
      </w:r>
      <w:r>
        <w:rPr>
          <w:rFonts w:eastAsia="Times New Roman"/>
          <w:szCs w:val="24"/>
          <w:lang w:val="pt-BR" w:eastAsia="pt-BR"/>
        </w:rPr>
        <w:t xml:space="preserve"> problema fundamental em relação aos direitos do homem, hoje, não é tanto o de justificá-los, mas o de protegê-los. Trata-se de um problema não filosófico, mas político”.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>Nesse contexto, se mantêm o desafio da Educação superior na garantia do direito à educação referendada em políticas e programas que valorizem e dinamizem princípios e processos participativos, dialógicos e interculturais. Esses princípios e processos definem a identidade da escola que efetiva a educação da inteireza e supõe o cultivo dos valores estéticos, culturais, políticos e éticos; dos valores da solidariedade, da justiça e do respeito como condições para a garantia do direito à educação.  Essa escola promove a</w:t>
      </w:r>
      <w:r>
        <w:rPr>
          <w:b/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aprendizagem emancipatória, construída coletivamente e que constitui, operacionaliza e dinamiza os princípios e valores da educação inclusiva, intercultural em escolas de educação básica e superior que sejam de fato </w:t>
      </w:r>
      <w:proofErr w:type="spellStart"/>
      <w:r>
        <w:rPr>
          <w:bCs/>
          <w:i/>
          <w:iCs/>
          <w:szCs w:val="24"/>
          <w:lang w:val="pt-BR"/>
        </w:rPr>
        <w:t>espaçotempos</w:t>
      </w:r>
      <w:proofErr w:type="spellEnd"/>
      <w:r>
        <w:rPr>
          <w:bCs/>
          <w:i/>
          <w:iCs/>
          <w:szCs w:val="24"/>
          <w:lang w:val="pt-BR"/>
        </w:rPr>
        <w:t xml:space="preserve"> </w:t>
      </w:r>
      <w:r>
        <w:rPr>
          <w:bCs/>
          <w:szCs w:val="24"/>
          <w:lang w:val="pt-BR"/>
        </w:rPr>
        <w:t xml:space="preserve">de garantia de direitos via diálogo </w:t>
      </w:r>
      <w:r>
        <w:rPr>
          <w:bCs/>
          <w:i/>
          <w:iCs/>
          <w:szCs w:val="24"/>
          <w:lang w:val="pt-BR"/>
        </w:rPr>
        <w:t xml:space="preserve">com/na </w:t>
      </w:r>
      <w:r>
        <w:rPr>
          <w:bCs/>
          <w:szCs w:val="24"/>
          <w:lang w:val="pt-BR"/>
        </w:rPr>
        <w:t xml:space="preserve">diversidade. </w:t>
      </w:r>
      <w:r>
        <w:rPr>
          <w:szCs w:val="24"/>
          <w:lang w:val="pt-BR"/>
        </w:rPr>
        <w:t xml:space="preserve">Assim, a garantia do direito à educação, na formação inicial e continuada poderá entabular o verdadeiro diálogo com a diversidade, de sujeitos, contextos, tempos, espaços, possibilidades. </w:t>
      </w:r>
    </w:p>
    <w:p w:rsidR="000F62EF" w:rsidRDefault="00E418E3">
      <w:pPr>
        <w:ind w:firstLine="708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Mantidos os desafios para a vivência desses valores e para articular os </w:t>
      </w:r>
      <w:proofErr w:type="spellStart"/>
      <w:r>
        <w:rPr>
          <w:i/>
          <w:szCs w:val="24"/>
          <w:lang w:val="pt-BR"/>
        </w:rPr>
        <w:t>espaçotempos</w:t>
      </w:r>
      <w:proofErr w:type="spellEnd"/>
      <w:r>
        <w:rPr>
          <w:szCs w:val="24"/>
          <w:lang w:val="pt-BR"/>
        </w:rPr>
        <w:t xml:space="preserve"> da aula, da escola, com as questões políticas, sociais e ambientais dos cotidianos, somos desafiados para a busca de alternativas para superar a exclusão, a má distribuição de renda, a desvalorização da vida, a degradação do ambiente e todas as formas de violências ainda tão presentes no mundo contemporâneo. </w:t>
      </w:r>
    </w:p>
    <w:p w:rsidR="000F62EF" w:rsidRDefault="000F62EF">
      <w:pPr>
        <w:jc w:val="both"/>
        <w:rPr>
          <w:szCs w:val="24"/>
          <w:lang w:val="pt-BR"/>
        </w:rPr>
      </w:pPr>
    </w:p>
    <w:p w:rsidR="000F62EF" w:rsidRDefault="00E418E3">
      <w:pPr>
        <w:rPr>
          <w:b/>
        </w:rPr>
      </w:pPr>
      <w:r>
        <w:rPr>
          <w:b/>
        </w:rPr>
        <w:t>Referências</w:t>
      </w:r>
    </w:p>
    <w:p w:rsidR="000F62EF" w:rsidRDefault="000F62EF">
      <w:pPr>
        <w:rPr>
          <w:b/>
        </w:rPr>
      </w:pPr>
    </w:p>
    <w:p w:rsidR="000F62EF" w:rsidRDefault="00E418E3">
      <w:pPr>
        <w:spacing w:after="300" w:line="240" w:lineRule="auto"/>
        <w:rPr>
          <w:szCs w:val="24"/>
        </w:rPr>
      </w:pPr>
      <w:r>
        <w:rPr>
          <w:szCs w:val="24"/>
        </w:rPr>
        <w:t xml:space="preserve">BARDIN, Laurence. </w:t>
      </w:r>
      <w:r>
        <w:rPr>
          <w:b/>
          <w:szCs w:val="24"/>
        </w:rPr>
        <w:t>Análise de conteúdo</w:t>
      </w:r>
      <w:r>
        <w:rPr>
          <w:szCs w:val="24"/>
        </w:rPr>
        <w:t>. Lisboa: Edições 70, 2000.</w:t>
      </w:r>
    </w:p>
    <w:p w:rsidR="000F62EF" w:rsidRDefault="00E418E3">
      <w:pPr>
        <w:spacing w:after="300" w:line="240" w:lineRule="auto"/>
        <w:rPr>
          <w:szCs w:val="24"/>
          <w:lang w:val="pt-BR"/>
        </w:rPr>
      </w:pPr>
      <w:r>
        <w:rPr>
          <w:iCs/>
          <w:szCs w:val="24"/>
          <w:lang w:val="pt-BR"/>
        </w:rPr>
        <w:lastRenderedPageBreak/>
        <w:t xml:space="preserve">BOBBIO, Norberto. </w:t>
      </w:r>
      <w:r>
        <w:rPr>
          <w:b/>
          <w:iCs/>
          <w:szCs w:val="24"/>
          <w:lang w:val="pt-BR"/>
        </w:rPr>
        <w:t>A era dos direitos</w:t>
      </w:r>
      <w:r>
        <w:rPr>
          <w:iCs/>
          <w:szCs w:val="24"/>
          <w:lang w:val="pt-BR"/>
        </w:rPr>
        <w:t xml:space="preserve">. 7. </w:t>
      </w:r>
      <w:proofErr w:type="spellStart"/>
      <w:r>
        <w:rPr>
          <w:iCs/>
          <w:szCs w:val="24"/>
          <w:lang w:val="pt-BR"/>
        </w:rPr>
        <w:t>reimpr</w:t>
      </w:r>
      <w:proofErr w:type="spellEnd"/>
      <w:r>
        <w:rPr>
          <w:iCs/>
          <w:szCs w:val="24"/>
          <w:lang w:val="pt-BR"/>
        </w:rPr>
        <w:t xml:space="preserve">. </w:t>
      </w:r>
      <w:r>
        <w:rPr>
          <w:rFonts w:eastAsia="Times New Roman"/>
          <w:szCs w:val="24"/>
          <w:lang w:val="pt-BR" w:eastAsia="pt-BR"/>
        </w:rPr>
        <w:t>Rio de Janeiro: Elsevier, 2004</w:t>
      </w:r>
      <w:r>
        <w:rPr>
          <w:szCs w:val="24"/>
          <w:lang w:val="pt-BR"/>
        </w:rPr>
        <w:t>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Constituição da República Federativa do Brasil. </w:t>
      </w:r>
      <w:r>
        <w:rPr>
          <w:rFonts w:ascii="Times New Roman" w:hAnsi="Times New Roman"/>
          <w:b/>
          <w:szCs w:val="24"/>
        </w:rPr>
        <w:t>Diário Oficial da União</w:t>
      </w:r>
      <w:r>
        <w:rPr>
          <w:rFonts w:ascii="Times New Roman" w:hAnsi="Times New Roman"/>
          <w:szCs w:val="24"/>
        </w:rPr>
        <w:t>, Brasília, ano CXXVI, n. 191-A, seção 1, p. 1, 05 de outubro de 1988. Disponível em: &lt;http://www.planalto.gov.br/ccivil_03/constituicao/constituicaocompilado.htm&gt;.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Lei n. 9.394, de 20 de dezembro de 1996. Estabelece as diretrizes e bases da educação nacional. </w:t>
      </w:r>
      <w:r>
        <w:rPr>
          <w:rFonts w:ascii="Times New Roman" w:hAnsi="Times New Roman"/>
          <w:b/>
          <w:szCs w:val="24"/>
        </w:rPr>
        <w:t>Diário Oficial da União</w:t>
      </w:r>
      <w:r>
        <w:rPr>
          <w:rFonts w:ascii="Times New Roman" w:hAnsi="Times New Roman"/>
          <w:szCs w:val="24"/>
        </w:rPr>
        <w:t>, Brasília, seção 1, p. 27833, 23 de dezembro de 1996. Disponível em: &lt;http://www.planalto.gov.br/ccivil_03/leis/L9394.htm&gt;.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Lei n. 13.005 de 25 de junho de 2014. Aprova o Plano Nacional de Educação - PNE e dá outras providências. </w:t>
      </w:r>
      <w:r>
        <w:rPr>
          <w:rFonts w:ascii="Times New Roman" w:hAnsi="Times New Roman"/>
          <w:b/>
          <w:szCs w:val="24"/>
        </w:rPr>
        <w:t>Diário Oficial da União</w:t>
      </w:r>
      <w:r>
        <w:rPr>
          <w:rFonts w:ascii="Times New Roman" w:hAnsi="Times New Roman"/>
          <w:szCs w:val="24"/>
        </w:rPr>
        <w:t xml:space="preserve">, Brasília, seção 1, p. 1, edição extra, 26 de junho de 2014. Disponível em: &lt;http://www.planalto.gov.br/CCIVIL03/Ato20112014/2014/Lei/L13005.htm&gt;. Acesso em: 03 jul. 2017. 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Parecer CNE/CP n. 8/2012. Diretrizes Nacionais para a Educação em Direitos Humanos. </w:t>
      </w:r>
      <w:r>
        <w:rPr>
          <w:rFonts w:ascii="Times New Roman" w:hAnsi="Times New Roman"/>
          <w:b/>
          <w:szCs w:val="24"/>
        </w:rPr>
        <w:t>Diário Oficial da União</w:t>
      </w:r>
      <w:r>
        <w:rPr>
          <w:rFonts w:ascii="Times New Roman" w:hAnsi="Times New Roman"/>
          <w:szCs w:val="24"/>
        </w:rPr>
        <w:t>, Brasília, seção 1, p. 33, 30 de maio de 2012a. Disponível em: &lt;http://portal.mec.gov.br/index.php?option=com_docman&amp;view=download&amp;alias=10389-pcp008-12-pdf&amp;category_slug=marco-2012-pdf&amp;Itemid=30192&gt;.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</w:t>
      </w:r>
      <w:r>
        <w:rPr>
          <w:rFonts w:ascii="Times New Roman" w:hAnsi="Times New Roman"/>
          <w:b/>
          <w:szCs w:val="24"/>
        </w:rPr>
        <w:t>Plano Nacional de Educação em Direitos Humanos</w:t>
      </w:r>
      <w:r>
        <w:rPr>
          <w:rFonts w:ascii="Times New Roman" w:hAnsi="Times New Roman"/>
          <w:szCs w:val="24"/>
        </w:rPr>
        <w:t>. Brasília: Comitê Nacional de Educação, Secretaria Especial dos Direitos Humanos, Ministério da Educação, Ministério da Justiça, UNESCO. 2007. Disponível em: &lt;http://portal.mec.gov.br/index.php?option=com_docman&amp;view=download&amp;alias=21 91-plano-nacional-pdf&amp;category_slug=dezembro-2009-pdf&amp;Itemid=30192&gt;.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BRASIL. Resolução n. 1, de 30 de maio de 2012. Estabelece Diretrizes Nacionais para a Educação em Direitos Humanos. </w:t>
      </w:r>
      <w:r>
        <w:rPr>
          <w:rFonts w:ascii="Times New Roman" w:hAnsi="Times New Roman"/>
          <w:b/>
          <w:szCs w:val="24"/>
        </w:rPr>
        <w:t>Diário Oficial da União</w:t>
      </w:r>
      <w:r>
        <w:rPr>
          <w:rFonts w:ascii="Times New Roman" w:hAnsi="Times New Roman"/>
          <w:szCs w:val="24"/>
        </w:rPr>
        <w:t>, Brasília, n. 105, seção, 1, p. 48, 31 de maio de 2012b. Disponível em: &lt;https://prograd.ufg.br/up/90/o/rcp001_12.pdf&gt;. Acesso em: 03 jul. 2017.</w:t>
      </w:r>
    </w:p>
    <w:p w:rsidR="000F62EF" w:rsidRDefault="00E418E3">
      <w:pPr>
        <w:spacing w:after="300" w:line="240" w:lineRule="auto"/>
        <w:rPr>
          <w:iCs/>
          <w:szCs w:val="24"/>
          <w:lang w:val="pt-BR"/>
        </w:rPr>
      </w:pPr>
      <w:r>
        <w:rPr>
          <w:iCs/>
          <w:szCs w:val="24"/>
          <w:lang w:val="pt-BR"/>
        </w:rPr>
        <w:t xml:space="preserve">CANDAU, Vera Maria Ferrão et al. </w:t>
      </w:r>
      <w:r>
        <w:rPr>
          <w:b/>
          <w:iCs/>
          <w:szCs w:val="24"/>
          <w:lang w:val="pt-BR"/>
        </w:rPr>
        <w:t>Educação em direitos humanos e formação de professores(as)</w:t>
      </w:r>
      <w:r>
        <w:rPr>
          <w:iCs/>
          <w:szCs w:val="24"/>
          <w:lang w:val="pt-BR"/>
        </w:rPr>
        <w:t>. 1. ed. São Paulo: Cortez, 2013.</w:t>
      </w:r>
    </w:p>
    <w:p w:rsidR="000F62EF" w:rsidRDefault="00E418E3">
      <w:pPr>
        <w:pStyle w:val="Referncia"/>
        <w:spacing w:after="300"/>
      </w:pPr>
      <w:r>
        <w:rPr>
          <w:rFonts w:ascii="Times New Roman" w:hAnsi="Times New Roman"/>
          <w:color w:val="000000"/>
          <w:szCs w:val="24"/>
        </w:rPr>
        <w:t xml:space="preserve">CEPAL-OIJ. La </w:t>
      </w:r>
      <w:proofErr w:type="spellStart"/>
      <w:r>
        <w:rPr>
          <w:rFonts w:ascii="Times New Roman" w:hAnsi="Times New Roman"/>
          <w:color w:val="000000"/>
          <w:szCs w:val="24"/>
        </w:rPr>
        <w:t>juventud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en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Iberoamérica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</w:rPr>
        <w:t>Tendencias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y </w:t>
      </w:r>
      <w:proofErr w:type="spellStart"/>
      <w:r>
        <w:rPr>
          <w:rFonts w:ascii="Times New Roman" w:hAnsi="Times New Roman"/>
          <w:color w:val="000000"/>
          <w:szCs w:val="24"/>
        </w:rPr>
        <w:t>urgencias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Segunda </w:t>
      </w:r>
      <w:proofErr w:type="spellStart"/>
      <w:r>
        <w:rPr>
          <w:rFonts w:ascii="Times New Roman" w:hAnsi="Times New Roman"/>
          <w:color w:val="000000"/>
          <w:szCs w:val="24"/>
        </w:rPr>
        <w:t>edición</w:t>
      </w:r>
      <w:proofErr w:type="spellEnd"/>
      <w:r>
        <w:rPr>
          <w:rFonts w:ascii="Times New Roman" w:hAnsi="Times New Roman"/>
          <w:color w:val="000000"/>
          <w:szCs w:val="24"/>
        </w:rPr>
        <w:t>. Santiago de Chile: CEPAL, 2004. Disponível em:</w:t>
      </w:r>
      <w:r>
        <w:rPr>
          <w:rFonts w:ascii="Times New Roman" w:hAnsi="Times New Roman"/>
          <w:szCs w:val="24"/>
        </w:rPr>
        <w:t xml:space="preserve"> </w:t>
      </w:r>
      <w:hyperlink r:id="rId9">
        <w:r>
          <w:rPr>
            <w:rStyle w:val="LinkdaInternet"/>
            <w:rFonts w:ascii="Times New Roman" w:hAnsi="Times New Roman"/>
            <w:szCs w:val="24"/>
          </w:rPr>
          <w:t>http://repositorio.cepal.org/bitstream/handle/11362/2785/S2004083_es.pdf;jsessionid=D9A01710034C32AA4E2FFFB8AFD31E95?sequence=1</w:t>
        </w:r>
      </w:hyperlink>
      <w:r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&gt;. Acesso em: 04 jul. 2017. </w:t>
      </w:r>
    </w:p>
    <w:p w:rsidR="000F62EF" w:rsidRDefault="00E418E3">
      <w:pPr>
        <w:pStyle w:val="Refernc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EYNG, Ana Maria. </w:t>
      </w:r>
      <w:r>
        <w:rPr>
          <w:rFonts w:ascii="Times New Roman" w:hAnsi="Times New Roman"/>
          <w:b/>
          <w:bCs/>
          <w:szCs w:val="24"/>
        </w:rPr>
        <w:t xml:space="preserve">A formação do homem no processo pedagógico e sua fundamentação </w:t>
      </w:r>
      <w:proofErr w:type="spellStart"/>
      <w:r>
        <w:rPr>
          <w:rFonts w:ascii="Times New Roman" w:hAnsi="Times New Roman"/>
          <w:b/>
          <w:bCs/>
          <w:szCs w:val="24"/>
        </w:rPr>
        <w:t>ântropo</w:t>
      </w:r>
      <w:proofErr w:type="spellEnd"/>
      <w:r>
        <w:rPr>
          <w:rFonts w:ascii="Times New Roman" w:hAnsi="Times New Roman"/>
          <w:b/>
          <w:bCs/>
          <w:szCs w:val="24"/>
        </w:rPr>
        <w:t>-filosófica</w:t>
      </w:r>
      <w:r>
        <w:rPr>
          <w:rFonts w:ascii="Times New Roman" w:hAnsi="Times New Roman"/>
          <w:szCs w:val="24"/>
        </w:rPr>
        <w:t xml:space="preserve">: um estudo de caso. 1995. Dissertação (Mestrado em Educação). Programa de pós-graduação em Educação. Pontifícia Universidade Católica do Paraná, Curitiba, 1995. </w:t>
      </w:r>
    </w:p>
    <w:p w:rsidR="000F62EF" w:rsidRDefault="00E418E3">
      <w:pPr>
        <w:pStyle w:val="Refernc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EYNG, Ana Maria. </w:t>
      </w:r>
      <w:r>
        <w:rPr>
          <w:rFonts w:ascii="Times New Roman" w:hAnsi="Times New Roman"/>
          <w:b/>
          <w:szCs w:val="24"/>
        </w:rPr>
        <w:t xml:space="preserve">Projeto de pesquisa: </w:t>
      </w:r>
      <w:r>
        <w:rPr>
          <w:rFonts w:ascii="Times New Roman" w:hAnsi="Times New Roman"/>
          <w:szCs w:val="24"/>
        </w:rPr>
        <w:t>políticas públicas, direitos humanos, justiça e violências nas escolas, desenvolvida pelo Grupo de pesquisa: políticas públicas e formação de professores, PPGE/PUCPR, 2013.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  <w:highlight w:val="cyan"/>
        </w:rPr>
      </w:pPr>
      <w:r>
        <w:rPr>
          <w:rFonts w:ascii="Times New Roman" w:hAnsi="Times New Roman"/>
          <w:szCs w:val="24"/>
        </w:rPr>
        <w:t xml:space="preserve">EYNG, Ana Maria. </w:t>
      </w:r>
      <w:r>
        <w:rPr>
          <w:rFonts w:ascii="Times New Roman" w:hAnsi="Times New Roman"/>
          <w:b/>
          <w:szCs w:val="24"/>
        </w:rPr>
        <w:t>Direitos humanos, justiça e convivência nas escolas</w:t>
      </w:r>
      <w:r>
        <w:rPr>
          <w:rFonts w:ascii="Times New Roman" w:hAnsi="Times New Roman"/>
          <w:szCs w:val="24"/>
        </w:rPr>
        <w:t xml:space="preserve">: traços da teorização e percepções juvenis em diálogo, p. 183-208, in CALIMAN, Geraldo (Org.). Direitos humanos na pedagogia do amanhã, Brasília, </w:t>
      </w:r>
      <w:proofErr w:type="spellStart"/>
      <w:r>
        <w:rPr>
          <w:rFonts w:ascii="Times New Roman" w:hAnsi="Times New Roman"/>
          <w:szCs w:val="24"/>
        </w:rPr>
        <w:t>Liber</w:t>
      </w:r>
      <w:proofErr w:type="spellEnd"/>
      <w:r>
        <w:rPr>
          <w:rFonts w:ascii="Times New Roman" w:hAnsi="Times New Roman"/>
          <w:szCs w:val="24"/>
        </w:rPr>
        <w:t xml:space="preserve"> Livro, 2014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OEI [Organização dos Estados Ibero-Americanos]. </w:t>
      </w:r>
      <w:r>
        <w:rPr>
          <w:rFonts w:ascii="Times New Roman" w:hAnsi="Times New Roman"/>
          <w:b/>
          <w:szCs w:val="24"/>
        </w:rPr>
        <w:t>A Educação que queremos para a geração dos bicentenários:</w:t>
      </w:r>
      <w:r>
        <w:rPr>
          <w:rFonts w:ascii="Times New Roman" w:hAnsi="Times New Roman"/>
          <w:szCs w:val="24"/>
        </w:rPr>
        <w:t xml:space="preserve"> Metas Educativas 2021. Madrid: OEI, 2008. Disponível em: &lt;www.oei.es/</w:t>
      </w:r>
      <w:proofErr w:type="spellStart"/>
      <w:r>
        <w:rPr>
          <w:rFonts w:ascii="Times New Roman" w:hAnsi="Times New Roman"/>
          <w:szCs w:val="24"/>
        </w:rPr>
        <w:t>historico</w:t>
      </w:r>
      <w:proofErr w:type="spellEnd"/>
      <w:r>
        <w:rPr>
          <w:rFonts w:ascii="Times New Roman" w:hAnsi="Times New Roman"/>
          <w:szCs w:val="24"/>
        </w:rPr>
        <w:t>/metas2021/metas2021_portugues.pdf&gt;.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ONU [Organização das Nações Unidas]. </w:t>
      </w:r>
      <w:r>
        <w:rPr>
          <w:rFonts w:ascii="Times New Roman" w:hAnsi="Times New Roman"/>
          <w:b/>
          <w:szCs w:val="24"/>
        </w:rPr>
        <w:t>Declaração Universal dos Direitos Humanos</w:t>
      </w:r>
      <w:r>
        <w:rPr>
          <w:rFonts w:ascii="Times New Roman" w:hAnsi="Times New Roman"/>
          <w:szCs w:val="24"/>
        </w:rPr>
        <w:t>. Paris: Assembleia Geral da ONU, 1948.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SANTOS, Boaventura Souza. </w:t>
      </w:r>
      <w:r>
        <w:rPr>
          <w:rFonts w:ascii="Times New Roman" w:hAnsi="Times New Roman"/>
          <w:b/>
          <w:szCs w:val="24"/>
        </w:rPr>
        <w:t>A gramática do tempo</w:t>
      </w:r>
      <w:r>
        <w:rPr>
          <w:rFonts w:ascii="Times New Roman" w:hAnsi="Times New Roman"/>
          <w:szCs w:val="24"/>
        </w:rPr>
        <w:t>: para uma nova cultura política, 3.ed. São Paulo: Cortez, 2010.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UNESCO [Organização das Nações Unidas para a Educação, a Ciência e a Cultura]. </w:t>
      </w:r>
      <w:r>
        <w:rPr>
          <w:rFonts w:ascii="Times New Roman" w:hAnsi="Times New Roman"/>
          <w:b/>
          <w:szCs w:val="24"/>
        </w:rPr>
        <w:t xml:space="preserve">Conferência Mundial sobre Ensino Superior 2009: </w:t>
      </w:r>
      <w:r>
        <w:rPr>
          <w:rFonts w:ascii="Times New Roman" w:hAnsi="Times New Roman"/>
          <w:szCs w:val="24"/>
        </w:rPr>
        <w:t>As Novas Dinâmicas do Ensino Superior e Pesquisas para a Mudança e o Desenvolvimento Social. Paris: UNESCO, 5 a 8 de julho de 2009. Disponível em: &lt;http://portal.mec.gov.br/index.php?option=com_docman&amp;view=download&amp;alias=2722-cmes-unesco-comunicadofinal-paris-2009&amp;category_slug=janeiro-2010-pdf&amp;Itemid=30192&gt;. Acesso em: 03 jul. 2017.</w:t>
      </w:r>
    </w:p>
    <w:p w:rsidR="000F62EF" w:rsidRDefault="00E418E3">
      <w:pPr>
        <w:pStyle w:val="Referncia"/>
        <w:spacing w:after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UNESCO [Organização das Nações Unidas para a Educação, a Ciência e a Cultura]. </w:t>
      </w:r>
      <w:r>
        <w:rPr>
          <w:rFonts w:ascii="Times New Roman" w:hAnsi="Times New Roman"/>
          <w:b/>
          <w:szCs w:val="24"/>
        </w:rPr>
        <w:t>Plano de Ação</w:t>
      </w:r>
      <w:r>
        <w:rPr>
          <w:rFonts w:ascii="Times New Roman" w:hAnsi="Times New Roman"/>
          <w:szCs w:val="24"/>
        </w:rPr>
        <w:t xml:space="preserve">: Programa Mundial para Educação em Direitos Humanos – Segunda fase. Brasília: UNESCO, 2012. Disponível em: &lt;http://unesdoc.unesco.org/images/0021/002173/217350por.pdf&gt; Acesso em: 03 jul. 2017. </w:t>
      </w:r>
    </w:p>
    <w:p w:rsidR="000F62EF" w:rsidRDefault="00E418E3">
      <w:pPr>
        <w:pStyle w:val="Referncia"/>
        <w:spacing w:after="300"/>
      </w:pPr>
      <w:r>
        <w:rPr>
          <w:rFonts w:ascii="Times New Roman" w:hAnsi="Times New Roman"/>
          <w:szCs w:val="24"/>
        </w:rPr>
        <w:t xml:space="preserve">UNESCO [Organização das Nações Unidas para a Educação, a Ciência e a Cultura]. </w:t>
      </w:r>
      <w:r>
        <w:rPr>
          <w:rFonts w:ascii="Times New Roman" w:hAnsi="Times New Roman"/>
          <w:b/>
          <w:szCs w:val="24"/>
        </w:rPr>
        <w:t>Plano de Ação</w:t>
      </w:r>
      <w:r>
        <w:rPr>
          <w:rFonts w:ascii="Times New Roman" w:hAnsi="Times New Roman"/>
          <w:szCs w:val="24"/>
        </w:rPr>
        <w:t>: Programa Mundial para Educação em Direitos Humanos – Terceira fase. Brasília: UNESCO, 2015. Disponível em: &lt;http://unesdoc.unesco.org/images/0023/002329/232922POR.pdf&gt;. Acesso em: 03 jul. 2017.</w:t>
      </w:r>
    </w:p>
    <w:sectPr w:rsidR="000F62EF">
      <w:headerReference w:type="default" r:id="rId10"/>
      <w:pgSz w:w="11906" w:h="16838"/>
      <w:pgMar w:top="1418" w:right="1418" w:bottom="1418" w:left="1418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05" w:rsidRDefault="008A2205">
      <w:pPr>
        <w:spacing w:line="240" w:lineRule="auto"/>
      </w:pPr>
      <w:r>
        <w:separator/>
      </w:r>
    </w:p>
  </w:endnote>
  <w:endnote w:type="continuationSeparator" w:id="0">
    <w:p w:rsidR="008A2205" w:rsidRDefault="008A2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05" w:rsidRDefault="008A2205">
      <w:r>
        <w:separator/>
      </w:r>
    </w:p>
  </w:footnote>
  <w:footnote w:type="continuationSeparator" w:id="0">
    <w:p w:rsidR="008A2205" w:rsidRDefault="008A2205">
      <w:r>
        <w:continuationSeparator/>
      </w:r>
    </w:p>
  </w:footnote>
  <w:footnote w:id="1">
    <w:p w:rsidR="000F62EF" w:rsidRDefault="00E418E3">
      <w:pPr>
        <w:spacing w:line="240" w:lineRule="auto"/>
        <w:jc w:val="both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sz w:val="20"/>
          <w:szCs w:val="20"/>
        </w:rPr>
        <w:t>Trabalho de elaborado no âmbito do projeto de produtividade em pesquisa subsidiado pelo CNPq - P</w:t>
      </w:r>
      <w:r>
        <w:rPr>
          <w:rFonts w:cs="Arial"/>
          <w:sz w:val="20"/>
          <w:szCs w:val="20"/>
        </w:rPr>
        <w:t>olíticas públicas, direitos humanos e juventudes: interfaces do currículo intercultural.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2EF" w:rsidRDefault="000F62EF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EF"/>
    <w:rsid w:val="00074AEF"/>
    <w:rsid w:val="000C0713"/>
    <w:rsid w:val="000F62EF"/>
    <w:rsid w:val="00573CA1"/>
    <w:rsid w:val="00650EF6"/>
    <w:rsid w:val="008A2205"/>
    <w:rsid w:val="00A85E3F"/>
    <w:rsid w:val="00BA2D12"/>
    <w:rsid w:val="00E418E3"/>
    <w:rsid w:val="00E60B2B"/>
    <w:rsid w:val="00ED353D"/>
    <w:rsid w:val="00F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CEC3D-F47D-4DB7-9071-D52C1DD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7C23"/>
    <w:pPr>
      <w:spacing w:line="360" w:lineRule="auto"/>
    </w:pPr>
    <w:rPr>
      <w:rFonts w:ascii="Times New Roman" w:hAnsi="Times New Roman"/>
      <w:sz w:val="24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4C1818"/>
    <w:rPr>
      <w:rFonts w:cs="Times New Roman"/>
    </w:rPr>
  </w:style>
  <w:style w:type="character" w:styleId="Forte">
    <w:name w:val="Strong"/>
    <w:qFormat/>
    <w:locked/>
    <w:rsid w:val="004C1818"/>
    <w:rPr>
      <w:rFonts w:cs="Times New Roman"/>
      <w:b/>
      <w:bCs/>
    </w:rPr>
  </w:style>
  <w:style w:type="character" w:customStyle="1" w:styleId="LinkdaInternet">
    <w:name w:val="Link da Internet"/>
    <w:rsid w:val="00F46E98"/>
    <w:rPr>
      <w:color w:val="0000FF"/>
      <w:u w:val="single"/>
    </w:rPr>
  </w:style>
  <w:style w:type="character" w:customStyle="1" w:styleId="A3">
    <w:name w:val="A3"/>
    <w:qFormat/>
    <w:rsid w:val="00D607D5"/>
    <w:rPr>
      <w:rFonts w:cs="Adobe Garamond Pro"/>
      <w:color w:val="000000"/>
      <w:sz w:val="18"/>
      <w:szCs w:val="18"/>
    </w:rPr>
  </w:style>
  <w:style w:type="character" w:styleId="Nmerodepgina">
    <w:name w:val="page number"/>
    <w:basedOn w:val="Fontepargpadro"/>
    <w:qFormat/>
    <w:rsid w:val="00AC0CC3"/>
  </w:style>
  <w:style w:type="character" w:customStyle="1" w:styleId="RodapChar">
    <w:name w:val="Rodapé Char"/>
    <w:link w:val="Rodap"/>
    <w:uiPriority w:val="99"/>
    <w:qFormat/>
    <w:rsid w:val="001C41D4"/>
    <w:rPr>
      <w:sz w:val="22"/>
      <w:szCs w:val="22"/>
      <w:lang w:val="pt-PT" w:eastAsia="en-US"/>
    </w:rPr>
  </w:style>
  <w:style w:type="character" w:customStyle="1" w:styleId="SubttuloChar">
    <w:name w:val="Subtítulo Char"/>
    <w:link w:val="Subttulo"/>
    <w:qFormat/>
    <w:rsid w:val="00683433"/>
    <w:rPr>
      <w:rFonts w:ascii="Calibri Light" w:eastAsia="Times New Roman" w:hAnsi="Calibri Light" w:cs="Times New Roman"/>
      <w:sz w:val="24"/>
      <w:szCs w:val="24"/>
      <w:lang w:val="pt-PT" w:eastAsia="en-US"/>
    </w:rPr>
  </w:style>
  <w:style w:type="character" w:customStyle="1" w:styleId="TextodenotaderodapChar">
    <w:name w:val="Texto de nota de rodapé Char"/>
    <w:link w:val="Textodenotaderodap"/>
    <w:qFormat/>
    <w:rsid w:val="00B71393"/>
    <w:rPr>
      <w:lang w:val="pt-PT" w:eastAsia="en-US"/>
    </w:rPr>
  </w:style>
  <w:style w:type="character" w:styleId="Refdenotaderodap">
    <w:name w:val="footnote reference"/>
    <w:qFormat/>
    <w:rsid w:val="00B71393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6714C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uiPriority w:val="99"/>
    <w:qFormat/>
    <w:locked/>
    <w:rsid w:val="0071692D"/>
    <w:pPr>
      <w:spacing w:line="240" w:lineRule="auto"/>
      <w:jc w:val="center"/>
    </w:pPr>
    <w:rPr>
      <w:rFonts w:ascii="Arial" w:hAnsi="Arial"/>
      <w:bCs/>
      <w:sz w:val="20"/>
      <w:szCs w:val="18"/>
      <w:lang w:val="pt-BR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Referncia">
    <w:name w:val="Referência"/>
    <w:basedOn w:val="Normal"/>
    <w:uiPriority w:val="99"/>
    <w:qFormat/>
    <w:rsid w:val="001C7925"/>
    <w:pPr>
      <w:spacing w:after="400" w:line="240" w:lineRule="auto"/>
    </w:pPr>
    <w:rPr>
      <w:rFonts w:ascii="Arial" w:eastAsia="Times New Roman" w:hAnsi="Arial"/>
      <w:lang w:val="pt-BR"/>
    </w:rPr>
  </w:style>
  <w:style w:type="paragraph" w:customStyle="1" w:styleId="Refernciabibliogrfica">
    <w:name w:val="Referência bibliográfica"/>
    <w:autoRedefine/>
    <w:qFormat/>
    <w:rsid w:val="00F46E98"/>
    <w:pPr>
      <w:keepLines/>
      <w:spacing w:before="40" w:after="40"/>
      <w:jc w:val="both"/>
    </w:pPr>
    <w:rPr>
      <w:rFonts w:ascii="Times New Roman" w:eastAsia="Times New Roman" w:hAnsi="Times New Roman"/>
      <w:sz w:val="22"/>
      <w:szCs w:val="22"/>
    </w:rPr>
  </w:style>
  <w:style w:type="paragraph" w:styleId="NormalWeb">
    <w:name w:val="Normal (Web)"/>
    <w:basedOn w:val="Normal"/>
    <w:uiPriority w:val="99"/>
    <w:semiHidden/>
    <w:qFormat/>
    <w:rsid w:val="001B7620"/>
    <w:pPr>
      <w:spacing w:beforeAutospacing="1" w:afterAutospacing="1" w:line="240" w:lineRule="auto"/>
    </w:pPr>
    <w:rPr>
      <w:szCs w:val="24"/>
      <w:lang w:val="pt-BR" w:eastAsia="pt-BR"/>
    </w:rPr>
  </w:style>
  <w:style w:type="paragraph" w:customStyle="1" w:styleId="Default">
    <w:name w:val="Default"/>
    <w:qFormat/>
    <w:rsid w:val="000D0A99"/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texto1">
    <w:name w:val="texto1"/>
    <w:basedOn w:val="Normal"/>
    <w:qFormat/>
    <w:rsid w:val="0065250C"/>
    <w:pPr>
      <w:spacing w:beforeAutospacing="1" w:afterAutospacing="1" w:line="240" w:lineRule="auto"/>
    </w:pPr>
    <w:rPr>
      <w:rFonts w:eastAsia="Times New Roman"/>
      <w:szCs w:val="24"/>
      <w:lang w:val="pt-BR" w:eastAsia="pt-BR"/>
    </w:rPr>
  </w:style>
  <w:style w:type="paragraph" w:styleId="Cabealho">
    <w:name w:val="header"/>
    <w:basedOn w:val="Normal"/>
    <w:rsid w:val="00AC0C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6225D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qFormat/>
    <w:locked/>
    <w:rsid w:val="00683433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paragraph" w:styleId="Textodenotaderodap">
    <w:name w:val="footnote text"/>
    <w:basedOn w:val="Normal"/>
    <w:link w:val="TextodenotaderodapChar"/>
  </w:style>
  <w:style w:type="paragraph" w:styleId="PargrafodaLista">
    <w:name w:val="List Paragraph"/>
    <w:basedOn w:val="Normal"/>
    <w:uiPriority w:val="34"/>
    <w:qFormat/>
    <w:rsid w:val="00E56D20"/>
    <w:pPr>
      <w:ind w:left="720"/>
      <w:contextualSpacing/>
    </w:pPr>
  </w:style>
  <w:style w:type="table" w:styleId="Tabelacomgrade">
    <w:name w:val="Table Grid"/>
    <w:basedOn w:val="Tabelanormal"/>
    <w:rsid w:val="0018326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85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hovogel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zete23@yaho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positorio.cepal.org/bitstream/handle/11362/2785/S2004083_es.pdf;jsessionid=D9A01710034C32AA4E2FFFB8AFD31E95?sequence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C4B5-AC97-48CF-A978-F15D6CD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6346</Words>
  <Characters>34273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faces da escola na promoção do direito à Educação | Les visages de l'école dans la promotion du droit à l'éducation</vt:lpstr>
    </vt:vector>
  </TitlesOfParts>
  <Company/>
  <LinksUpToDate>false</LinksUpToDate>
  <CharactersWithSpaces>40538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faces da escola na promoção do direito à Educação | Les visages de l'école dans la promotion du droit à l'éducation</dc:title>
  <dc:subject/>
  <dc:creator>PUCPR</dc:creator>
  <dc:description/>
  <cp:lastModifiedBy>Alboni Vieira</cp:lastModifiedBy>
  <cp:revision>3</cp:revision>
  <dcterms:created xsi:type="dcterms:W3CDTF">2017-08-03T17:24:00Z</dcterms:created>
  <dcterms:modified xsi:type="dcterms:W3CDTF">2017-08-13T21:32:00Z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