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AA8" w:rsidRDefault="00115BFF" w:rsidP="008808DD">
      <w:pPr>
        <w:pStyle w:val="Ttulo3"/>
        <w:tabs>
          <w:tab w:val="left" w:pos="142"/>
        </w:tabs>
        <w:jc w:val="center"/>
        <w:rPr>
          <w:rFonts w:ascii="Times New Roman" w:eastAsia="SimHei" w:hAnsi="Times New Roman" w:cs="Times New Roman"/>
          <w:color w:val="auto"/>
          <w:sz w:val="28"/>
          <w:szCs w:val="28"/>
        </w:rPr>
      </w:pPr>
      <w:r>
        <w:rPr>
          <w:rFonts w:ascii="Times New Roman" w:eastAsia="SimHei" w:hAnsi="Times New Roman" w:cs="Times New Roman"/>
          <w:color w:val="auto"/>
          <w:sz w:val="28"/>
          <w:szCs w:val="28"/>
        </w:rPr>
        <w:t>A Expansão d</w:t>
      </w:r>
      <w:r w:rsidRPr="00F91AA8">
        <w:rPr>
          <w:rFonts w:ascii="Times New Roman" w:eastAsia="SimHei" w:hAnsi="Times New Roman" w:cs="Times New Roman"/>
          <w:color w:val="auto"/>
          <w:sz w:val="28"/>
          <w:szCs w:val="28"/>
        </w:rPr>
        <w:t>a Rede F</w:t>
      </w:r>
      <w:r>
        <w:rPr>
          <w:rFonts w:ascii="Times New Roman" w:hAnsi="Times New Roman" w:cs="Times New Roman"/>
          <w:color w:val="auto"/>
          <w:sz w:val="28"/>
          <w:szCs w:val="28"/>
        </w:rPr>
        <w:t>ederal d</w:t>
      </w:r>
      <w:r w:rsidRPr="00F91AA8">
        <w:rPr>
          <w:rFonts w:ascii="Times New Roman" w:hAnsi="Times New Roman" w:cs="Times New Roman"/>
          <w:color w:val="auto"/>
          <w:sz w:val="28"/>
          <w:szCs w:val="28"/>
        </w:rPr>
        <w:t xml:space="preserve">e </w:t>
      </w:r>
      <w:r w:rsidRPr="00F91AA8">
        <w:rPr>
          <w:rFonts w:ascii="Times New Roman" w:hAnsi="Times New Roman" w:cs="Times New Roman"/>
          <w:color w:val="auto"/>
          <w:sz w:val="28"/>
          <w:szCs w:val="28"/>
          <w:shd w:val="clear" w:color="auto" w:fill="FFFFFF"/>
        </w:rPr>
        <w:t>Edu</w:t>
      </w:r>
      <w:r>
        <w:rPr>
          <w:rFonts w:ascii="Times New Roman" w:hAnsi="Times New Roman" w:cs="Times New Roman"/>
          <w:color w:val="auto"/>
          <w:sz w:val="28"/>
          <w:szCs w:val="28"/>
          <w:shd w:val="clear" w:color="auto" w:fill="FFFFFF"/>
        </w:rPr>
        <w:t>cação Profissional, Científica e</w:t>
      </w:r>
      <w:r w:rsidRPr="00F91AA8">
        <w:rPr>
          <w:rFonts w:ascii="Times New Roman" w:hAnsi="Times New Roman" w:cs="Times New Roman"/>
          <w:color w:val="auto"/>
          <w:sz w:val="28"/>
          <w:szCs w:val="28"/>
          <w:shd w:val="clear" w:color="auto" w:fill="FFFFFF"/>
        </w:rPr>
        <w:t xml:space="preserve"> Tecnológica</w:t>
      </w:r>
      <w:r>
        <w:rPr>
          <w:rFonts w:ascii="Times New Roman" w:eastAsia="SimHei" w:hAnsi="Times New Roman" w:cs="Times New Roman"/>
          <w:color w:val="auto"/>
          <w:sz w:val="28"/>
          <w:szCs w:val="28"/>
        </w:rPr>
        <w:t>: o</w:t>
      </w:r>
      <w:r w:rsidRPr="00F91AA8">
        <w:rPr>
          <w:rFonts w:ascii="Times New Roman" w:eastAsia="SimHei" w:hAnsi="Times New Roman" w:cs="Times New Roman"/>
          <w:color w:val="auto"/>
          <w:sz w:val="28"/>
          <w:szCs w:val="28"/>
        </w:rPr>
        <w:t>s Institutos Federais</w:t>
      </w:r>
      <w:r>
        <w:rPr>
          <w:rFonts w:ascii="Times New Roman" w:eastAsia="SimHei" w:hAnsi="Times New Roman" w:cs="Times New Roman"/>
          <w:color w:val="auto"/>
          <w:sz w:val="28"/>
          <w:szCs w:val="28"/>
        </w:rPr>
        <w:t xml:space="preserve"> em questão</w:t>
      </w:r>
    </w:p>
    <w:p w:rsidR="00115BFF" w:rsidRPr="00115BFF" w:rsidRDefault="00115BFF" w:rsidP="00115BFF">
      <w:pPr>
        <w:jc w:val="center"/>
        <w:rPr>
          <w:rFonts w:eastAsia="SimHei"/>
          <w:i/>
        </w:rPr>
      </w:pPr>
    </w:p>
    <w:p w:rsidR="00115BFF" w:rsidRPr="00115BFF" w:rsidRDefault="00115BFF" w:rsidP="00115BFF">
      <w:pPr>
        <w:jc w:val="center"/>
        <w:rPr>
          <w:rFonts w:eastAsia="SimHei"/>
          <w:i/>
          <w:lang w:val="en-GB"/>
        </w:rPr>
      </w:pPr>
      <w:r w:rsidRPr="00115BFF">
        <w:rPr>
          <w:rFonts w:eastAsia="SimHei"/>
          <w:i/>
          <w:lang w:val="en-GB"/>
        </w:rPr>
        <w:t xml:space="preserve">The Expansion of the Federal Network of </w:t>
      </w:r>
      <w:r w:rsidR="004C6848">
        <w:rPr>
          <w:rFonts w:eastAsia="SimHei"/>
          <w:i/>
          <w:lang w:val="en-GB"/>
        </w:rPr>
        <w:t>professional</w:t>
      </w:r>
      <w:r w:rsidRPr="00115BFF">
        <w:rPr>
          <w:rFonts w:eastAsia="SimHei"/>
          <w:i/>
          <w:lang w:val="en-GB"/>
        </w:rPr>
        <w:t xml:space="preserve">, Scientific and Technological Education: </w:t>
      </w:r>
      <w:proofErr w:type="gramStart"/>
      <w:r w:rsidRPr="00115BFF">
        <w:rPr>
          <w:rFonts w:eastAsia="SimHei"/>
          <w:i/>
          <w:lang w:val="en-GB"/>
        </w:rPr>
        <w:t>the</w:t>
      </w:r>
      <w:proofErr w:type="gramEnd"/>
      <w:r w:rsidRPr="00115BFF">
        <w:rPr>
          <w:rFonts w:eastAsia="SimHei"/>
          <w:i/>
          <w:lang w:val="en-GB"/>
        </w:rPr>
        <w:t xml:space="preserve"> Federal Institutes in question</w:t>
      </w:r>
    </w:p>
    <w:p w:rsidR="00115BFF" w:rsidRPr="00115BFF" w:rsidRDefault="00115BFF" w:rsidP="00115BFF">
      <w:pPr>
        <w:rPr>
          <w:rFonts w:eastAsia="SimHei"/>
          <w:lang w:val="en-GB"/>
        </w:rPr>
      </w:pPr>
    </w:p>
    <w:p w:rsidR="00821712" w:rsidRPr="00115BFF" w:rsidRDefault="00821712" w:rsidP="003036E4">
      <w:pPr>
        <w:pStyle w:val="Autora"/>
        <w:spacing w:before="0" w:after="0" w:line="240" w:lineRule="auto"/>
        <w:jc w:val="right"/>
        <w:rPr>
          <w:rFonts w:ascii="Times New Roman" w:hAnsi="Times New Roman"/>
          <w:sz w:val="24"/>
          <w:szCs w:val="24"/>
          <w:lang w:val="en-GB"/>
        </w:rPr>
      </w:pPr>
    </w:p>
    <w:p w:rsidR="00D635A6" w:rsidRPr="00115BFF" w:rsidRDefault="00D635A6" w:rsidP="003036E4">
      <w:pPr>
        <w:pStyle w:val="Autora"/>
        <w:spacing w:before="0" w:after="0" w:line="240" w:lineRule="auto"/>
        <w:jc w:val="right"/>
        <w:rPr>
          <w:rFonts w:ascii="Times New Roman" w:hAnsi="Times New Roman"/>
          <w:sz w:val="24"/>
          <w:szCs w:val="24"/>
          <w:lang w:val="en-GB"/>
        </w:rPr>
      </w:pPr>
    </w:p>
    <w:p w:rsidR="0094476E" w:rsidRDefault="0094476E" w:rsidP="0094476E">
      <w:pPr>
        <w:jc w:val="right"/>
        <w:rPr>
          <w:rFonts w:ascii="Times New Roman" w:hAnsi="Times New Roman" w:cs="Times New Roman"/>
          <w:color w:val="222222"/>
          <w:shd w:val="clear" w:color="auto" w:fill="FFFFFF"/>
        </w:rPr>
      </w:pPr>
      <w:r w:rsidRPr="00272370">
        <w:rPr>
          <w:rFonts w:ascii="Times New Roman" w:hAnsi="Times New Roman" w:cs="Times New Roman"/>
          <w:color w:val="222222"/>
          <w:shd w:val="clear" w:color="auto" w:fill="FFFFFF"/>
        </w:rPr>
        <w:t>Leandro</w:t>
      </w:r>
      <w:r w:rsidR="00115BFF">
        <w:rPr>
          <w:rFonts w:ascii="Times New Roman" w:hAnsi="Times New Roman" w:cs="Times New Roman"/>
          <w:color w:val="222222"/>
          <w:shd w:val="clear" w:color="auto" w:fill="FFFFFF"/>
        </w:rPr>
        <w:t xml:space="preserve"> </w:t>
      </w:r>
      <w:proofErr w:type="spellStart"/>
      <w:r w:rsidR="00115BFF">
        <w:rPr>
          <w:rFonts w:ascii="Times New Roman" w:hAnsi="Times New Roman" w:cs="Times New Roman"/>
          <w:color w:val="222222"/>
          <w:shd w:val="clear" w:color="auto" w:fill="FFFFFF"/>
        </w:rPr>
        <w:t>Turmena</w:t>
      </w:r>
      <w:proofErr w:type="spellEnd"/>
      <w:r w:rsidR="00115BFF">
        <w:rPr>
          <w:rFonts w:ascii="Times New Roman" w:hAnsi="Times New Roman" w:cs="Times New Roman"/>
          <w:color w:val="222222"/>
          <w:shd w:val="clear" w:color="auto" w:fill="FFFFFF"/>
        </w:rPr>
        <w:t xml:space="preserve"> – </w:t>
      </w:r>
      <w:r w:rsidR="00115BFF" w:rsidRPr="00115BFF">
        <w:rPr>
          <w:rFonts w:ascii="Times New Roman" w:hAnsi="Times New Roman" w:cs="Times New Roman"/>
          <w:color w:val="222222"/>
          <w:shd w:val="clear" w:color="auto" w:fill="FFFFFF"/>
        </w:rPr>
        <w:t>UTFPR</w:t>
      </w:r>
      <w:r w:rsidR="00115BFF">
        <w:rPr>
          <w:rFonts w:ascii="Times New Roman" w:hAnsi="Times New Roman" w:cs="Times New Roman"/>
          <w:color w:val="222222"/>
          <w:shd w:val="clear" w:color="auto" w:fill="FFFFFF"/>
        </w:rPr>
        <w:t xml:space="preserve"> - </w:t>
      </w:r>
      <w:proofErr w:type="spellStart"/>
      <w:r w:rsidR="00115BFF" w:rsidRPr="00115BFF">
        <w:rPr>
          <w:rFonts w:ascii="Times New Roman" w:hAnsi="Times New Roman" w:cs="Times New Roman"/>
          <w:color w:val="222222"/>
          <w:shd w:val="clear" w:color="auto" w:fill="FFFFFF"/>
        </w:rPr>
        <w:t>Câmpus</w:t>
      </w:r>
      <w:proofErr w:type="spellEnd"/>
      <w:r w:rsidR="00115BFF" w:rsidRPr="00115BFF">
        <w:rPr>
          <w:rFonts w:ascii="Times New Roman" w:hAnsi="Times New Roman" w:cs="Times New Roman"/>
          <w:color w:val="222222"/>
          <w:shd w:val="clear" w:color="auto" w:fill="FFFFFF"/>
        </w:rPr>
        <w:t xml:space="preserve"> Dois Vizinhos</w:t>
      </w:r>
      <w:r w:rsidR="00115BFF">
        <w:rPr>
          <w:rFonts w:ascii="Times New Roman" w:hAnsi="Times New Roman" w:cs="Times New Roman"/>
          <w:color w:val="222222"/>
          <w:shd w:val="clear" w:color="auto" w:fill="FFFFFF"/>
        </w:rPr>
        <w:t xml:space="preserve">–PR-Brasil, </w:t>
      </w:r>
      <w:r w:rsidR="00115BFF" w:rsidRPr="00115BFF">
        <w:rPr>
          <w:rFonts w:ascii="Times New Roman" w:hAnsi="Times New Roman" w:cs="Times New Roman"/>
          <w:color w:val="222222"/>
          <w:shd w:val="clear" w:color="auto" w:fill="FFFFFF"/>
        </w:rPr>
        <w:t>lturmena@hotmail.com</w:t>
      </w:r>
    </w:p>
    <w:p w:rsidR="00BC4A6A" w:rsidRPr="00081FE5" w:rsidRDefault="00BC4A6A" w:rsidP="0094476E">
      <w:pPr>
        <w:jc w:val="right"/>
        <w:rPr>
          <w:rFonts w:ascii="Times New Roman" w:hAnsi="Times New Roman" w:cs="Times New Roman"/>
          <w:shd w:val="clear" w:color="auto" w:fill="FFFFFF"/>
        </w:rPr>
      </w:pPr>
      <w:r w:rsidRPr="00081FE5">
        <w:rPr>
          <w:rFonts w:ascii="Times New Roman" w:hAnsi="Times New Roman" w:cs="Times New Roman"/>
          <w:shd w:val="clear" w:color="auto" w:fill="FFFFFF"/>
        </w:rPr>
        <w:t>Mário Luiz Neves de</w:t>
      </w:r>
      <w:r w:rsidR="00115BFF">
        <w:rPr>
          <w:rFonts w:ascii="Times New Roman" w:hAnsi="Times New Roman" w:cs="Times New Roman"/>
          <w:shd w:val="clear" w:color="auto" w:fill="FFFFFF"/>
        </w:rPr>
        <w:t xml:space="preserve"> Azevedo – UEM – Maringá-PR-Brasil, mlnazevedo@uem.br</w:t>
      </w:r>
    </w:p>
    <w:p w:rsidR="00476E69" w:rsidRDefault="00476E69" w:rsidP="003036E4">
      <w:pPr>
        <w:rPr>
          <w:rFonts w:ascii="Times New Roman" w:hAnsi="Times New Roman" w:cs="Times New Roman"/>
          <w:b/>
          <w:sz w:val="22"/>
          <w:szCs w:val="22"/>
        </w:rPr>
      </w:pPr>
    </w:p>
    <w:p w:rsidR="00476E69" w:rsidRDefault="00476E69" w:rsidP="003036E4">
      <w:pPr>
        <w:rPr>
          <w:rFonts w:ascii="Times New Roman" w:hAnsi="Times New Roman" w:cs="Times New Roman"/>
          <w:b/>
          <w:sz w:val="22"/>
          <w:szCs w:val="22"/>
        </w:rPr>
      </w:pPr>
    </w:p>
    <w:p w:rsidR="00476E69" w:rsidRDefault="00476E69" w:rsidP="003036E4">
      <w:pPr>
        <w:rPr>
          <w:rFonts w:ascii="Times New Roman" w:hAnsi="Times New Roman" w:cs="Times New Roman"/>
          <w:b/>
          <w:sz w:val="22"/>
          <w:szCs w:val="22"/>
        </w:rPr>
      </w:pPr>
    </w:p>
    <w:p w:rsidR="003A4EAC" w:rsidRPr="000E524E" w:rsidRDefault="003A4EAC" w:rsidP="003036E4">
      <w:pPr>
        <w:rPr>
          <w:rFonts w:ascii="Times New Roman" w:hAnsi="Times New Roman" w:cs="Times New Roman"/>
          <w:b/>
          <w:sz w:val="22"/>
          <w:szCs w:val="22"/>
        </w:rPr>
      </w:pPr>
      <w:r w:rsidRPr="000E524E">
        <w:rPr>
          <w:rFonts w:ascii="Times New Roman" w:hAnsi="Times New Roman" w:cs="Times New Roman"/>
          <w:b/>
          <w:sz w:val="22"/>
          <w:szCs w:val="22"/>
        </w:rPr>
        <w:t>Resumo</w:t>
      </w:r>
    </w:p>
    <w:p w:rsidR="00F91AA8" w:rsidRPr="000E524E" w:rsidRDefault="00F91AA8" w:rsidP="00F91AA8">
      <w:pPr>
        <w:jc w:val="both"/>
        <w:rPr>
          <w:rFonts w:ascii="Times New Roman" w:hAnsi="Times New Roman" w:cs="Times New Roman"/>
          <w:sz w:val="22"/>
          <w:szCs w:val="22"/>
        </w:rPr>
      </w:pPr>
      <w:r w:rsidRPr="000E524E">
        <w:rPr>
          <w:rFonts w:ascii="Times New Roman" w:hAnsi="Times New Roman" w:cs="Times New Roman"/>
          <w:sz w:val="22"/>
          <w:szCs w:val="22"/>
        </w:rPr>
        <w:t xml:space="preserve">O objetivo deste </w:t>
      </w:r>
      <w:r w:rsidR="00A86C1C">
        <w:rPr>
          <w:rFonts w:ascii="Times New Roman" w:hAnsi="Times New Roman" w:cs="Times New Roman"/>
          <w:sz w:val="22"/>
          <w:szCs w:val="22"/>
        </w:rPr>
        <w:t>artigo</w:t>
      </w:r>
      <w:r w:rsidRPr="000E524E">
        <w:rPr>
          <w:rFonts w:ascii="Times New Roman" w:hAnsi="Times New Roman" w:cs="Times New Roman"/>
          <w:sz w:val="22"/>
          <w:szCs w:val="22"/>
        </w:rPr>
        <w:t xml:space="preserve"> é problematizar sobre a expansão da</w:t>
      </w:r>
      <w:r w:rsidRPr="000E524E">
        <w:rPr>
          <w:rFonts w:ascii="Times New Roman" w:hAnsi="Times New Roman" w:cs="Times New Roman"/>
          <w:b/>
          <w:sz w:val="22"/>
          <w:szCs w:val="22"/>
        </w:rPr>
        <w:t xml:space="preserve"> </w:t>
      </w:r>
      <w:r w:rsidRPr="000E524E">
        <w:rPr>
          <w:rFonts w:ascii="Times New Roman" w:hAnsi="Times New Roman" w:cs="Times New Roman"/>
          <w:sz w:val="22"/>
          <w:szCs w:val="22"/>
        </w:rPr>
        <w:t xml:space="preserve">Rede Federal de </w:t>
      </w:r>
      <w:r w:rsidRPr="000E524E">
        <w:rPr>
          <w:rFonts w:ascii="Times New Roman" w:hAnsi="Times New Roman" w:cs="Times New Roman"/>
          <w:sz w:val="22"/>
          <w:szCs w:val="22"/>
          <w:shd w:val="clear" w:color="auto" w:fill="FFFFFF"/>
        </w:rPr>
        <w:t>Educação Profissional, Científica e Tecnológica (</w:t>
      </w:r>
      <w:r w:rsidRPr="000E524E">
        <w:rPr>
          <w:rFonts w:ascii="Times New Roman" w:eastAsia="SimHei" w:hAnsi="Times New Roman" w:cs="Times New Roman"/>
          <w:sz w:val="22"/>
          <w:szCs w:val="22"/>
        </w:rPr>
        <w:t>EPCT), com a implementação dos Institutos Federais (</w:t>
      </w:r>
      <w:proofErr w:type="spellStart"/>
      <w:r w:rsidRPr="000E524E">
        <w:rPr>
          <w:rFonts w:ascii="Times New Roman" w:eastAsia="SimHei" w:hAnsi="Times New Roman" w:cs="Times New Roman"/>
          <w:sz w:val="22"/>
          <w:szCs w:val="22"/>
        </w:rPr>
        <w:t>IFs</w:t>
      </w:r>
      <w:proofErr w:type="spellEnd"/>
      <w:r w:rsidRPr="000E524E">
        <w:rPr>
          <w:rFonts w:ascii="Times New Roman" w:eastAsia="SimHei" w:hAnsi="Times New Roman" w:cs="Times New Roman"/>
          <w:sz w:val="22"/>
          <w:szCs w:val="22"/>
        </w:rPr>
        <w:t>) no âmbito das políticas públicas e educacionais do governo Lula. Num primeiro momento</w:t>
      </w:r>
      <w:r w:rsidR="002A618F">
        <w:rPr>
          <w:rFonts w:ascii="Times New Roman" w:eastAsia="SimHei" w:hAnsi="Times New Roman" w:cs="Times New Roman"/>
          <w:sz w:val="22"/>
          <w:szCs w:val="22"/>
        </w:rPr>
        <w:t>,</w:t>
      </w:r>
      <w:r w:rsidRPr="000E524E">
        <w:rPr>
          <w:rFonts w:ascii="Times New Roman" w:eastAsia="SimHei" w:hAnsi="Times New Roman" w:cs="Times New Roman"/>
          <w:sz w:val="22"/>
          <w:szCs w:val="22"/>
        </w:rPr>
        <w:t xml:space="preserve"> optou-se por investigar a historicidade e a configuração da Rede EPCT e, posteriormente, analisar os dados que refletem a materialização dos </w:t>
      </w:r>
      <w:proofErr w:type="spellStart"/>
      <w:r w:rsidRPr="000E524E">
        <w:rPr>
          <w:rFonts w:ascii="Times New Roman" w:eastAsia="SimHei" w:hAnsi="Times New Roman" w:cs="Times New Roman"/>
          <w:sz w:val="22"/>
          <w:szCs w:val="22"/>
        </w:rPr>
        <w:t>IFs</w:t>
      </w:r>
      <w:proofErr w:type="spellEnd"/>
      <w:r w:rsidRPr="000E524E">
        <w:rPr>
          <w:rFonts w:ascii="Times New Roman" w:eastAsia="SimHei" w:hAnsi="Times New Roman" w:cs="Times New Roman"/>
          <w:sz w:val="22"/>
          <w:szCs w:val="22"/>
        </w:rPr>
        <w:t xml:space="preserve"> no país, a partir de 2008. Considera-se, mesmo se tratando de uma pesquisa em andamento, que o</w:t>
      </w:r>
      <w:r w:rsidRPr="000E524E">
        <w:rPr>
          <w:rFonts w:ascii="Times New Roman" w:hAnsi="Times New Roman" w:cs="Times New Roman"/>
          <w:sz w:val="22"/>
          <w:szCs w:val="22"/>
        </w:rPr>
        <w:t xml:space="preserve"> Estado, embora </w:t>
      </w:r>
      <w:r w:rsidR="00EE29FC">
        <w:rPr>
          <w:rFonts w:ascii="Times New Roman" w:hAnsi="Times New Roman" w:cs="Times New Roman"/>
          <w:sz w:val="22"/>
          <w:szCs w:val="22"/>
        </w:rPr>
        <w:t>hegemonizado</w:t>
      </w:r>
      <w:r w:rsidR="00D235FD">
        <w:rPr>
          <w:rFonts w:ascii="Times New Roman" w:hAnsi="Times New Roman" w:cs="Times New Roman"/>
          <w:sz w:val="22"/>
          <w:szCs w:val="22"/>
        </w:rPr>
        <w:t xml:space="preserve"> pela burguesia</w:t>
      </w:r>
      <w:r w:rsidRPr="000E524E">
        <w:rPr>
          <w:rFonts w:ascii="Times New Roman" w:hAnsi="Times New Roman" w:cs="Times New Roman"/>
          <w:sz w:val="22"/>
          <w:szCs w:val="22"/>
        </w:rPr>
        <w:t>, não é absolutamente burguês</w:t>
      </w:r>
      <w:r w:rsidR="002A618F">
        <w:rPr>
          <w:rFonts w:ascii="Times New Roman" w:hAnsi="Times New Roman" w:cs="Times New Roman"/>
          <w:sz w:val="22"/>
          <w:szCs w:val="22"/>
        </w:rPr>
        <w:t>. A</w:t>
      </w:r>
      <w:r w:rsidRPr="000E524E">
        <w:rPr>
          <w:rFonts w:ascii="Times New Roman" w:hAnsi="Times New Roman" w:cs="Times New Roman"/>
          <w:sz w:val="22"/>
          <w:szCs w:val="22"/>
        </w:rPr>
        <w:t xml:space="preserve"> educação</w:t>
      </w:r>
      <w:r w:rsidR="002A618F">
        <w:rPr>
          <w:rFonts w:ascii="Times New Roman" w:hAnsi="Times New Roman" w:cs="Times New Roman"/>
          <w:sz w:val="22"/>
          <w:szCs w:val="22"/>
        </w:rPr>
        <w:t xml:space="preserve"> também</w:t>
      </w:r>
      <w:r w:rsidRPr="000E524E">
        <w:rPr>
          <w:rFonts w:ascii="Times New Roman" w:hAnsi="Times New Roman" w:cs="Times New Roman"/>
          <w:sz w:val="22"/>
          <w:szCs w:val="22"/>
        </w:rPr>
        <w:t xml:space="preserve"> não é absolutamente expressão da vontade burguesa. Portanto, com a criação dos </w:t>
      </w:r>
      <w:proofErr w:type="spellStart"/>
      <w:r w:rsidRPr="000E524E">
        <w:rPr>
          <w:rFonts w:ascii="Times New Roman" w:hAnsi="Times New Roman" w:cs="Times New Roman"/>
          <w:sz w:val="22"/>
          <w:szCs w:val="22"/>
        </w:rPr>
        <w:t>IFs</w:t>
      </w:r>
      <w:proofErr w:type="spellEnd"/>
      <w:r w:rsidRPr="000E524E">
        <w:rPr>
          <w:rFonts w:ascii="Times New Roman" w:hAnsi="Times New Roman" w:cs="Times New Roman"/>
          <w:sz w:val="22"/>
          <w:szCs w:val="22"/>
        </w:rPr>
        <w:t xml:space="preserve">, houve a ampliação da oferta de educação pública que, embora também inserida nos limites da sociedade de classes, constitui uma possibilidade de formação e desenvolvimento de “intelectuais orgânicos” comprometidos com a superação das relações sociais capitalistas. </w:t>
      </w:r>
    </w:p>
    <w:p w:rsidR="00F91AA8" w:rsidRPr="000E524E" w:rsidRDefault="00F91AA8" w:rsidP="003036E4">
      <w:pPr>
        <w:rPr>
          <w:rFonts w:ascii="Times New Roman" w:hAnsi="Times New Roman" w:cs="Times New Roman"/>
          <w:b/>
          <w:sz w:val="22"/>
          <w:szCs w:val="22"/>
        </w:rPr>
      </w:pPr>
    </w:p>
    <w:p w:rsidR="00F91AA8" w:rsidRPr="00333584" w:rsidRDefault="003A4EAC" w:rsidP="00F91AA8">
      <w:pPr>
        <w:jc w:val="both"/>
        <w:rPr>
          <w:rFonts w:ascii="Times New Roman" w:eastAsia="SimHei" w:hAnsi="Times New Roman" w:cs="Times New Roman"/>
          <w:b/>
          <w:sz w:val="22"/>
          <w:szCs w:val="22"/>
        </w:rPr>
      </w:pPr>
      <w:r w:rsidRPr="000E524E">
        <w:rPr>
          <w:rFonts w:ascii="Times New Roman" w:hAnsi="Times New Roman" w:cs="Times New Roman"/>
          <w:b/>
          <w:sz w:val="22"/>
          <w:szCs w:val="22"/>
        </w:rPr>
        <w:t>Palavras</w:t>
      </w:r>
      <w:r w:rsidR="0034146D" w:rsidRPr="000E524E">
        <w:rPr>
          <w:rFonts w:ascii="Times New Roman" w:hAnsi="Times New Roman" w:cs="Times New Roman"/>
          <w:b/>
          <w:sz w:val="22"/>
          <w:szCs w:val="22"/>
        </w:rPr>
        <w:t>-</w:t>
      </w:r>
      <w:r w:rsidRPr="000E524E">
        <w:rPr>
          <w:rFonts w:ascii="Times New Roman" w:hAnsi="Times New Roman" w:cs="Times New Roman"/>
          <w:b/>
          <w:sz w:val="22"/>
          <w:szCs w:val="22"/>
        </w:rPr>
        <w:t>chave:</w:t>
      </w:r>
      <w:r w:rsidRPr="000E524E">
        <w:rPr>
          <w:rFonts w:ascii="Times New Roman" w:hAnsi="Times New Roman" w:cs="Times New Roman"/>
          <w:sz w:val="22"/>
          <w:szCs w:val="22"/>
        </w:rPr>
        <w:t xml:space="preserve"> </w:t>
      </w:r>
      <w:r w:rsidR="00F91AA8" w:rsidRPr="000E524E">
        <w:rPr>
          <w:rFonts w:ascii="Times New Roman" w:eastAsia="SimHei" w:hAnsi="Times New Roman" w:cs="Times New Roman"/>
          <w:sz w:val="22"/>
          <w:szCs w:val="22"/>
        </w:rPr>
        <w:t>Políticas Educacionais</w:t>
      </w:r>
      <w:r w:rsidR="00333584">
        <w:rPr>
          <w:rFonts w:ascii="Times New Roman" w:eastAsia="SimHei" w:hAnsi="Times New Roman" w:cs="Times New Roman"/>
          <w:sz w:val="22"/>
          <w:szCs w:val="22"/>
        </w:rPr>
        <w:t>;</w:t>
      </w:r>
      <w:r w:rsidR="00F91AA8" w:rsidRPr="000E524E">
        <w:rPr>
          <w:rFonts w:ascii="Times New Roman" w:hAnsi="Times New Roman" w:cs="Times New Roman"/>
          <w:sz w:val="22"/>
          <w:szCs w:val="22"/>
        </w:rPr>
        <w:t xml:space="preserve"> </w:t>
      </w:r>
      <w:r w:rsidR="00F91AA8" w:rsidRPr="000E524E">
        <w:rPr>
          <w:rFonts w:ascii="Times New Roman" w:hAnsi="Times New Roman" w:cs="Times New Roman"/>
          <w:sz w:val="22"/>
          <w:szCs w:val="22"/>
          <w:shd w:val="clear" w:color="auto" w:fill="FFFFFF"/>
        </w:rPr>
        <w:t>Educação Profissional</w:t>
      </w:r>
      <w:r w:rsidR="00333584">
        <w:rPr>
          <w:rFonts w:ascii="Times New Roman" w:hAnsi="Times New Roman" w:cs="Times New Roman"/>
          <w:sz w:val="22"/>
          <w:szCs w:val="22"/>
          <w:shd w:val="clear" w:color="auto" w:fill="FFFFFF"/>
        </w:rPr>
        <w:t>;</w:t>
      </w:r>
      <w:r w:rsidR="00F91AA8" w:rsidRPr="000E524E">
        <w:rPr>
          <w:rFonts w:ascii="Times New Roman" w:hAnsi="Times New Roman" w:cs="Times New Roman"/>
          <w:sz w:val="22"/>
          <w:szCs w:val="22"/>
          <w:shd w:val="clear" w:color="auto" w:fill="FFFFFF"/>
        </w:rPr>
        <w:t xml:space="preserve"> </w:t>
      </w:r>
      <w:r w:rsidR="00F91AA8" w:rsidRPr="00333584">
        <w:rPr>
          <w:rFonts w:ascii="Times New Roman" w:hAnsi="Times New Roman" w:cs="Times New Roman"/>
          <w:sz w:val="22"/>
          <w:szCs w:val="22"/>
          <w:shd w:val="clear" w:color="auto" w:fill="FFFFFF"/>
        </w:rPr>
        <w:t>Institutos Federais.</w:t>
      </w:r>
    </w:p>
    <w:p w:rsidR="0093208E" w:rsidRPr="00333584" w:rsidRDefault="0093208E" w:rsidP="0093208E">
      <w:pPr>
        <w:pStyle w:val="TtulodeItem"/>
        <w:rPr>
          <w:rFonts w:ascii="Times New Roman" w:hAnsi="Times New Roman" w:cs="Times New Roman"/>
          <w:szCs w:val="22"/>
        </w:rPr>
      </w:pPr>
    </w:p>
    <w:p w:rsidR="003A4EAC" w:rsidRPr="004C6848" w:rsidRDefault="004C6848" w:rsidP="003036E4">
      <w:pPr>
        <w:jc w:val="both"/>
        <w:rPr>
          <w:rFonts w:ascii="Times New Roman" w:hAnsi="Times New Roman" w:cs="Times New Roman"/>
          <w:lang w:val="en-GB"/>
        </w:rPr>
      </w:pPr>
      <w:r w:rsidRPr="004C6848">
        <w:rPr>
          <w:rFonts w:ascii="Times New Roman" w:hAnsi="Times New Roman" w:cs="Times New Roman"/>
          <w:b/>
          <w:lang w:val="en-GB"/>
        </w:rPr>
        <w:t>Abstract</w:t>
      </w:r>
    </w:p>
    <w:p w:rsidR="004C6848" w:rsidRDefault="004C6848" w:rsidP="003036E4">
      <w:pPr>
        <w:jc w:val="both"/>
        <w:rPr>
          <w:rFonts w:ascii="Times New Roman" w:hAnsi="Times New Roman" w:cs="Times New Roman"/>
          <w:lang w:val="en-GB"/>
        </w:rPr>
      </w:pPr>
      <w:r w:rsidRPr="004C6848">
        <w:rPr>
          <w:rFonts w:ascii="Times New Roman" w:hAnsi="Times New Roman" w:cs="Times New Roman"/>
          <w:lang w:val="en-GB"/>
        </w:rPr>
        <w:t>The objective of this article is to discuss the expansion of the Federal Professional, Scientific and Techno</w:t>
      </w:r>
      <w:r>
        <w:rPr>
          <w:rFonts w:ascii="Times New Roman" w:hAnsi="Times New Roman" w:cs="Times New Roman"/>
          <w:lang w:val="en-GB"/>
        </w:rPr>
        <w:t>logical Education Network</w:t>
      </w:r>
      <w:r w:rsidRPr="004C6848">
        <w:rPr>
          <w:rFonts w:ascii="Times New Roman" w:hAnsi="Times New Roman" w:cs="Times New Roman"/>
          <w:lang w:val="en-GB"/>
        </w:rPr>
        <w:t>, with the implementation</w:t>
      </w:r>
      <w:r>
        <w:rPr>
          <w:rFonts w:ascii="Times New Roman" w:hAnsi="Times New Roman" w:cs="Times New Roman"/>
          <w:lang w:val="en-GB"/>
        </w:rPr>
        <w:t xml:space="preserve"> of the Federal Institutes</w:t>
      </w:r>
      <w:r w:rsidRPr="004C6848">
        <w:rPr>
          <w:rFonts w:ascii="Times New Roman" w:hAnsi="Times New Roman" w:cs="Times New Roman"/>
          <w:lang w:val="en-GB"/>
        </w:rPr>
        <w:t xml:space="preserve"> within the scope of the public and educational policies </w:t>
      </w:r>
      <w:r>
        <w:rPr>
          <w:rFonts w:ascii="Times New Roman" w:hAnsi="Times New Roman" w:cs="Times New Roman"/>
          <w:lang w:val="en-GB"/>
        </w:rPr>
        <w:t>during the Lula government. First, we present</w:t>
      </w:r>
      <w:r w:rsidRPr="004C6848">
        <w:rPr>
          <w:rFonts w:ascii="Times New Roman" w:hAnsi="Times New Roman" w:cs="Times New Roman"/>
          <w:lang w:val="en-GB"/>
        </w:rPr>
        <w:t xml:space="preserve"> the historicity of the Federal Professional, Scientific and Technological Education Network </w:t>
      </w:r>
      <w:r>
        <w:rPr>
          <w:rFonts w:ascii="Times New Roman" w:hAnsi="Times New Roman" w:cs="Times New Roman"/>
          <w:lang w:val="en-GB"/>
        </w:rPr>
        <w:t>and, subsequently, we</w:t>
      </w:r>
      <w:r w:rsidRPr="004C6848">
        <w:rPr>
          <w:rFonts w:ascii="Times New Roman" w:hAnsi="Times New Roman" w:cs="Times New Roman"/>
          <w:lang w:val="en-GB"/>
        </w:rPr>
        <w:t xml:space="preserve"> </w:t>
      </w:r>
      <w:proofErr w:type="spellStart"/>
      <w:r w:rsidRPr="004C6848">
        <w:rPr>
          <w:rFonts w:ascii="Times New Roman" w:hAnsi="Times New Roman" w:cs="Times New Roman"/>
          <w:lang w:val="en-GB"/>
        </w:rPr>
        <w:t>analyze</w:t>
      </w:r>
      <w:proofErr w:type="spellEnd"/>
      <w:r w:rsidRPr="004C6848">
        <w:rPr>
          <w:rFonts w:ascii="Times New Roman" w:hAnsi="Times New Roman" w:cs="Times New Roman"/>
          <w:lang w:val="en-GB"/>
        </w:rPr>
        <w:t xml:space="preserve"> the data that reflec</w:t>
      </w:r>
      <w:r>
        <w:rPr>
          <w:rFonts w:ascii="Times New Roman" w:hAnsi="Times New Roman" w:cs="Times New Roman"/>
          <w:lang w:val="en-GB"/>
        </w:rPr>
        <w:t>t the materialization of the Federal Institutes in Brazil</w:t>
      </w:r>
      <w:r w:rsidRPr="004C6848">
        <w:rPr>
          <w:rFonts w:ascii="Times New Roman" w:hAnsi="Times New Roman" w:cs="Times New Roman"/>
          <w:lang w:val="en-GB"/>
        </w:rPr>
        <w:t>, from 2008. It is considered</w:t>
      </w:r>
      <w:r>
        <w:rPr>
          <w:rFonts w:ascii="Times New Roman" w:hAnsi="Times New Roman" w:cs="Times New Roman"/>
          <w:lang w:val="en-GB"/>
        </w:rPr>
        <w:t xml:space="preserve"> t</w:t>
      </w:r>
      <w:r w:rsidRPr="004C6848">
        <w:rPr>
          <w:rFonts w:ascii="Times New Roman" w:hAnsi="Times New Roman" w:cs="Times New Roman"/>
          <w:lang w:val="en-GB"/>
        </w:rPr>
        <w:t xml:space="preserve">hat the State, although hegemonized by the bourgeoisie, </w:t>
      </w:r>
      <w:r>
        <w:rPr>
          <w:rFonts w:ascii="Times New Roman" w:hAnsi="Times New Roman" w:cs="Times New Roman"/>
          <w:lang w:val="en-GB"/>
        </w:rPr>
        <w:t xml:space="preserve">it is not </w:t>
      </w:r>
      <w:proofErr w:type="gramStart"/>
      <w:r>
        <w:rPr>
          <w:rFonts w:ascii="Times New Roman" w:hAnsi="Times New Roman" w:cs="Times New Roman"/>
          <w:lang w:val="en-GB"/>
        </w:rPr>
        <w:t>absolutely bourgeois</w:t>
      </w:r>
      <w:proofErr w:type="gramEnd"/>
      <w:r w:rsidRPr="004C6848">
        <w:rPr>
          <w:rFonts w:ascii="Times New Roman" w:hAnsi="Times New Roman" w:cs="Times New Roman"/>
          <w:lang w:val="en-GB"/>
        </w:rPr>
        <w:t>. Therefo</w:t>
      </w:r>
      <w:r>
        <w:rPr>
          <w:rFonts w:ascii="Times New Roman" w:hAnsi="Times New Roman" w:cs="Times New Roman"/>
          <w:lang w:val="en-GB"/>
        </w:rPr>
        <w:t>re, with the creation of the Federal Institutes</w:t>
      </w:r>
      <w:r w:rsidRPr="004C6848">
        <w:rPr>
          <w:rFonts w:ascii="Times New Roman" w:hAnsi="Times New Roman" w:cs="Times New Roman"/>
          <w:lang w:val="en-GB"/>
        </w:rPr>
        <w:t>, there was an expansion of the offer of public education which, although also within the limits of class society, constitutes a possibility for the formation and development of "organic intellectuals" committed to overcoming capitalist social relations.</w:t>
      </w:r>
    </w:p>
    <w:p w:rsidR="00333584" w:rsidRDefault="00333584" w:rsidP="003036E4">
      <w:pPr>
        <w:jc w:val="both"/>
        <w:rPr>
          <w:rFonts w:ascii="Times New Roman" w:hAnsi="Times New Roman" w:cs="Times New Roman"/>
          <w:lang w:val="en-GB"/>
        </w:rPr>
      </w:pPr>
    </w:p>
    <w:p w:rsidR="00333584" w:rsidRPr="004C6848" w:rsidRDefault="00333584" w:rsidP="003036E4">
      <w:pPr>
        <w:jc w:val="both"/>
        <w:rPr>
          <w:rFonts w:ascii="Times New Roman" w:hAnsi="Times New Roman" w:cs="Times New Roman"/>
          <w:lang w:val="en-GB"/>
        </w:rPr>
      </w:pPr>
      <w:r w:rsidRPr="00333584">
        <w:rPr>
          <w:rFonts w:ascii="Times New Roman" w:hAnsi="Times New Roman" w:cs="Times New Roman"/>
          <w:b/>
          <w:lang w:val="en-GB"/>
        </w:rPr>
        <w:t>Keywords</w:t>
      </w:r>
      <w:r w:rsidRPr="00333584">
        <w:rPr>
          <w:rFonts w:ascii="Times New Roman" w:hAnsi="Times New Roman" w:cs="Times New Roman"/>
          <w:lang w:val="en-GB"/>
        </w:rPr>
        <w:t>: Educational Policie</w:t>
      </w:r>
      <w:r>
        <w:rPr>
          <w:rFonts w:ascii="Times New Roman" w:hAnsi="Times New Roman" w:cs="Times New Roman"/>
          <w:lang w:val="en-GB"/>
        </w:rPr>
        <w:t>s; Professional Education;</w:t>
      </w:r>
      <w:r w:rsidRPr="00333584">
        <w:rPr>
          <w:rFonts w:ascii="Times New Roman" w:hAnsi="Times New Roman" w:cs="Times New Roman"/>
          <w:lang w:val="en-GB"/>
        </w:rPr>
        <w:t xml:space="preserve"> Federal Institutes.</w:t>
      </w:r>
    </w:p>
    <w:p w:rsidR="004C6848" w:rsidRDefault="004C6848" w:rsidP="003036E4">
      <w:pPr>
        <w:jc w:val="both"/>
        <w:rPr>
          <w:rFonts w:ascii="Times New Roman" w:hAnsi="Times New Roman" w:cs="Times New Roman"/>
          <w:b/>
          <w:lang w:val="en-GB"/>
        </w:rPr>
      </w:pPr>
    </w:p>
    <w:p w:rsidR="00333584" w:rsidRPr="004C6848" w:rsidRDefault="00333584" w:rsidP="003036E4">
      <w:pPr>
        <w:jc w:val="both"/>
        <w:rPr>
          <w:rFonts w:ascii="Times New Roman" w:hAnsi="Times New Roman" w:cs="Times New Roman"/>
          <w:b/>
          <w:lang w:val="en-GB"/>
        </w:rPr>
      </w:pPr>
    </w:p>
    <w:p w:rsidR="003A4EAC" w:rsidRPr="004C6848" w:rsidRDefault="003A4EAC" w:rsidP="003036E4">
      <w:pPr>
        <w:jc w:val="both"/>
        <w:rPr>
          <w:rFonts w:ascii="Times New Roman" w:hAnsi="Times New Roman" w:cs="Times New Roman"/>
          <w:b/>
          <w:lang w:val="en-GB"/>
        </w:rPr>
      </w:pPr>
      <w:r w:rsidRPr="004C6848">
        <w:rPr>
          <w:rFonts w:ascii="Times New Roman" w:hAnsi="Times New Roman" w:cs="Times New Roman"/>
          <w:b/>
          <w:lang w:val="en-GB"/>
        </w:rPr>
        <w:t>INTRODUÇÃO</w:t>
      </w:r>
      <w:r w:rsidR="007C0E03" w:rsidRPr="004C6848">
        <w:rPr>
          <w:rFonts w:ascii="Times New Roman" w:hAnsi="Times New Roman" w:cs="Times New Roman"/>
          <w:b/>
          <w:lang w:val="en-GB"/>
        </w:rPr>
        <w:t xml:space="preserve"> </w:t>
      </w:r>
    </w:p>
    <w:p w:rsidR="003A4EAC" w:rsidRPr="004C6848" w:rsidRDefault="003A4EAC" w:rsidP="003036E4">
      <w:pPr>
        <w:rPr>
          <w:rFonts w:ascii="Times New Roman" w:hAnsi="Times New Roman" w:cs="Times New Roman"/>
          <w:lang w:val="en-GB"/>
        </w:rPr>
      </w:pPr>
    </w:p>
    <w:p w:rsidR="008808DD" w:rsidRDefault="005606EB" w:rsidP="00FF18CF">
      <w:pPr>
        <w:spacing w:line="360" w:lineRule="auto"/>
        <w:ind w:firstLine="567"/>
        <w:jc w:val="both"/>
        <w:rPr>
          <w:rFonts w:ascii="Times New Roman" w:eastAsia="SimHei" w:hAnsi="Times New Roman" w:cs="Times New Roman"/>
        </w:rPr>
      </w:pPr>
      <w:r w:rsidRPr="00B03735">
        <w:rPr>
          <w:rFonts w:ascii="Times New Roman" w:hAnsi="Times New Roman" w:cs="Times New Roman"/>
        </w:rPr>
        <w:t xml:space="preserve">O </w:t>
      </w:r>
      <w:r w:rsidR="00FF18CF">
        <w:rPr>
          <w:rFonts w:ascii="Times New Roman" w:hAnsi="Times New Roman" w:cs="Times New Roman"/>
        </w:rPr>
        <w:t xml:space="preserve">texto aborda a </w:t>
      </w:r>
      <w:r w:rsidRPr="00B03735">
        <w:rPr>
          <w:rFonts w:ascii="Times New Roman" w:hAnsi="Times New Roman" w:cs="Times New Roman"/>
        </w:rPr>
        <w:t>expansão da</w:t>
      </w:r>
      <w:r w:rsidRPr="00B03735">
        <w:rPr>
          <w:rFonts w:ascii="Times New Roman" w:hAnsi="Times New Roman" w:cs="Times New Roman"/>
          <w:b/>
        </w:rPr>
        <w:t xml:space="preserve"> </w:t>
      </w:r>
      <w:r w:rsidRPr="00B03735">
        <w:rPr>
          <w:rFonts w:ascii="Times New Roman" w:hAnsi="Times New Roman" w:cs="Times New Roman"/>
        </w:rPr>
        <w:t xml:space="preserve">Rede Federal de </w:t>
      </w:r>
      <w:r w:rsidRPr="00B03735">
        <w:rPr>
          <w:rFonts w:ascii="Times New Roman" w:hAnsi="Times New Roman" w:cs="Times New Roman"/>
          <w:shd w:val="clear" w:color="auto" w:fill="FFFFFF"/>
        </w:rPr>
        <w:t>Educação Profissional, Científica e Tecnológica (</w:t>
      </w:r>
      <w:r w:rsidRPr="00B03735">
        <w:rPr>
          <w:rFonts w:ascii="Times New Roman" w:eastAsia="SimHei" w:hAnsi="Times New Roman" w:cs="Times New Roman"/>
        </w:rPr>
        <w:t>EPCT), com a implementação dos Institutos Federais (</w:t>
      </w:r>
      <w:proofErr w:type="spellStart"/>
      <w:r w:rsidRPr="00B03735">
        <w:rPr>
          <w:rFonts w:ascii="Times New Roman" w:eastAsia="SimHei" w:hAnsi="Times New Roman" w:cs="Times New Roman"/>
        </w:rPr>
        <w:t>IFs</w:t>
      </w:r>
      <w:proofErr w:type="spellEnd"/>
      <w:r w:rsidRPr="00B03735">
        <w:rPr>
          <w:rFonts w:ascii="Times New Roman" w:eastAsia="SimHei" w:hAnsi="Times New Roman" w:cs="Times New Roman"/>
        </w:rPr>
        <w:t xml:space="preserve">) no âmbito das políticas públicas e educacionais do governo Lula. </w:t>
      </w:r>
      <w:r w:rsidR="00FF18CF">
        <w:rPr>
          <w:rFonts w:ascii="Times New Roman" w:eastAsia="SimHei" w:hAnsi="Times New Roman" w:cs="Times New Roman"/>
        </w:rPr>
        <w:t>Primeiramente</w:t>
      </w:r>
      <w:r w:rsidR="0069049E">
        <w:rPr>
          <w:rFonts w:ascii="Times New Roman" w:eastAsia="SimHei" w:hAnsi="Times New Roman" w:cs="Times New Roman"/>
        </w:rPr>
        <w:t>,</w:t>
      </w:r>
      <w:r w:rsidRPr="00B03735">
        <w:rPr>
          <w:rFonts w:ascii="Times New Roman" w:eastAsia="SimHei" w:hAnsi="Times New Roman" w:cs="Times New Roman"/>
        </w:rPr>
        <w:t xml:space="preserve"> optou-se por investigar a </w:t>
      </w:r>
      <w:r w:rsidRPr="00B03735">
        <w:rPr>
          <w:rFonts w:ascii="Times New Roman" w:eastAsia="SimHei" w:hAnsi="Times New Roman" w:cs="Times New Roman"/>
        </w:rPr>
        <w:lastRenderedPageBreak/>
        <w:t xml:space="preserve">historicidade e a configuração da Rede EPCT e, posteriormente, analisar os dados que refletem a materialização dos </w:t>
      </w:r>
      <w:proofErr w:type="spellStart"/>
      <w:r w:rsidRPr="00B03735">
        <w:rPr>
          <w:rFonts w:ascii="Times New Roman" w:eastAsia="SimHei" w:hAnsi="Times New Roman" w:cs="Times New Roman"/>
        </w:rPr>
        <w:t>IFs</w:t>
      </w:r>
      <w:proofErr w:type="spellEnd"/>
      <w:r w:rsidRPr="00B03735">
        <w:rPr>
          <w:rFonts w:ascii="Times New Roman" w:eastAsia="SimHei" w:hAnsi="Times New Roman" w:cs="Times New Roman"/>
        </w:rPr>
        <w:t xml:space="preserve"> no país, a partir de 2008. </w:t>
      </w:r>
    </w:p>
    <w:p w:rsidR="00EB3E08" w:rsidRDefault="008808DD" w:rsidP="00FF18CF">
      <w:pPr>
        <w:spacing w:line="360" w:lineRule="auto"/>
        <w:ind w:firstLine="567"/>
        <w:jc w:val="both"/>
        <w:rPr>
          <w:rFonts w:ascii="Times New Roman" w:eastAsia="SimHei" w:hAnsi="Times New Roman" w:cs="Times New Roman"/>
        </w:rPr>
      </w:pPr>
      <w:r w:rsidRPr="00B03735">
        <w:rPr>
          <w:rFonts w:ascii="Times New Roman" w:hAnsi="Times New Roman" w:cs="Times New Roman"/>
        </w:rPr>
        <w:t>Com o objetivo de captar detalhadamente a materialidade do objeto, a pesquisa, metodologicamente,</w:t>
      </w:r>
      <w:r w:rsidRPr="00B03735">
        <w:rPr>
          <w:rFonts w:ascii="Times New Roman" w:eastAsia="SimHei" w:hAnsi="Times New Roman" w:cs="Times New Roman"/>
        </w:rPr>
        <w:t xml:space="preserve"> segue os seguintes passos: a) Análise em fontes primárias: leis, documentos, dados coletados junto aos órg</w:t>
      </w:r>
      <w:r w:rsidRPr="00B03735">
        <w:rPr>
          <w:rFonts w:ascii="Times New Roman" w:eastAsia="MS Mincho" w:hAnsi="Times New Roman" w:cs="Times New Roman"/>
        </w:rPr>
        <w:t>ã</w:t>
      </w:r>
      <w:r w:rsidRPr="00B03735">
        <w:rPr>
          <w:rFonts w:ascii="Times New Roman" w:eastAsia="SimHei" w:hAnsi="Times New Roman" w:cs="Times New Roman"/>
        </w:rPr>
        <w:t xml:space="preserve">os oficiais (Governo Federal, Ministério da Educação - MEC, etc.), referentes ao objeto de estudo; b) Pesquisa nas páginas eletrônicas dos Institutos Federais; c) Levantamento bibliográfico em obras clássicas, livros, artigos de periódicos, teses e outros materiais. </w:t>
      </w:r>
      <w:r w:rsidRPr="00B03735">
        <w:rPr>
          <w:rFonts w:ascii="Times New Roman" w:hAnsi="Times New Roman" w:cs="Times New Roman"/>
        </w:rPr>
        <w:t>O método de análise utilizado neste estudo é o Materialismo Histórico, pois, entende-se que a pesquisa deve apoderar-se da matéria, em seus pormenores, analisar suas diferentes formas de desenvolvimento e investigar minunciosamente a conexão íntima que há entre elas.</w:t>
      </w:r>
    </w:p>
    <w:p w:rsidR="008808DD" w:rsidRPr="008808DD" w:rsidRDefault="008808DD" w:rsidP="008808DD">
      <w:pPr>
        <w:pStyle w:val="Ttulo3"/>
        <w:keepLines w:val="0"/>
        <w:numPr>
          <w:ilvl w:val="0"/>
          <w:numId w:val="40"/>
        </w:numPr>
        <w:spacing w:before="0"/>
        <w:ind w:left="709" w:hanging="709"/>
        <w:jc w:val="both"/>
        <w:rPr>
          <w:rFonts w:ascii="Times New Roman" w:eastAsia="SimHei" w:hAnsi="Times New Roman" w:cs="Times New Roman"/>
          <w:color w:val="auto"/>
        </w:rPr>
      </w:pPr>
      <w:r w:rsidRPr="008808DD">
        <w:rPr>
          <w:rFonts w:ascii="Times New Roman" w:hAnsi="Times New Roman" w:cs="Times New Roman"/>
          <w:color w:val="auto"/>
          <w:shd w:val="clear" w:color="auto" w:fill="FFFFFF"/>
        </w:rPr>
        <w:t>EDUCAÇÃO PROFISSIONAL, CIENTÍFICA E TECNOLÓGICA</w:t>
      </w:r>
      <w:r w:rsidRPr="008808DD">
        <w:rPr>
          <w:rFonts w:ascii="Times New Roman" w:eastAsia="SimHei" w:hAnsi="Times New Roman" w:cs="Times New Roman"/>
          <w:color w:val="auto"/>
        </w:rPr>
        <w:t xml:space="preserve"> E A CRIAÇÃO DOS INSTITUTOS FEDERAIS</w:t>
      </w:r>
    </w:p>
    <w:p w:rsidR="00A359E6" w:rsidRPr="00A359E6" w:rsidRDefault="00A359E6" w:rsidP="00FF18CF">
      <w:pPr>
        <w:pStyle w:val="Corpodetexto"/>
        <w:spacing w:line="360" w:lineRule="auto"/>
        <w:jc w:val="both"/>
        <w:rPr>
          <w:b w:val="0"/>
          <w:sz w:val="20"/>
          <w:szCs w:val="20"/>
        </w:rPr>
      </w:pPr>
    </w:p>
    <w:p w:rsidR="008808DD" w:rsidRPr="00B03735" w:rsidRDefault="008808DD" w:rsidP="008808DD">
      <w:pPr>
        <w:pStyle w:val="NormalWeb"/>
        <w:spacing w:before="0" w:after="0" w:line="360" w:lineRule="auto"/>
        <w:ind w:firstLine="567"/>
        <w:jc w:val="both"/>
        <w:rPr>
          <w:rFonts w:ascii="Times New Roman" w:eastAsia="SimHei" w:hAnsi="Times New Roman" w:cs="Times New Roman"/>
        </w:rPr>
      </w:pPr>
      <w:r w:rsidRPr="00B03735">
        <w:rPr>
          <w:rFonts w:ascii="Times New Roman" w:hAnsi="Times New Roman" w:cs="Times New Roman"/>
        </w:rPr>
        <w:t>No ano de 2006, a educação profissional e tecnológica passa por um novo processo de reestruturação a partir da iniciativa do MEC junto ao Conselho Nacional de Educação (CNE), decorrente do Parecer CNE/CES n</w:t>
      </w:r>
      <w:r w:rsidRPr="00B03735">
        <w:rPr>
          <w:rFonts w:ascii="Times New Roman" w:hAnsi="Times New Roman" w:cs="Times New Roman"/>
          <w:vertAlign w:val="superscript"/>
        </w:rPr>
        <w:t>o</w:t>
      </w:r>
      <w:r w:rsidRPr="00B03735">
        <w:rPr>
          <w:rFonts w:ascii="Times New Roman" w:hAnsi="Times New Roman" w:cs="Times New Roman"/>
        </w:rPr>
        <w:t>. 277. Haveria, neste contexto, a necessidade de uma reorganização dos cursos superiores de tecnologia, por poucos eixos tecnológicos e mais compactos, diante da organização por áreas profissionais definidas no Parecer CES/CNE n</w:t>
      </w:r>
      <w:r w:rsidRPr="00B03735">
        <w:rPr>
          <w:rFonts w:ascii="Times New Roman" w:hAnsi="Times New Roman" w:cs="Times New Roman"/>
          <w:vertAlign w:val="superscript"/>
        </w:rPr>
        <w:t>o</w:t>
      </w:r>
      <w:r w:rsidRPr="00B03735">
        <w:rPr>
          <w:rFonts w:ascii="Times New Roman" w:hAnsi="Times New Roman" w:cs="Times New Roman"/>
        </w:rPr>
        <w:t>. 436/2001 encontrar-se superada e não contribuir para o desenvolvimento industrial. No Parecer CNE/CES n</w:t>
      </w:r>
      <w:r w:rsidRPr="00B03735">
        <w:rPr>
          <w:rFonts w:ascii="Times New Roman" w:hAnsi="Times New Roman" w:cs="Times New Roman"/>
          <w:vertAlign w:val="superscript"/>
        </w:rPr>
        <w:t>o</w:t>
      </w:r>
      <w:r w:rsidRPr="00B03735">
        <w:rPr>
          <w:rFonts w:ascii="Times New Roman" w:hAnsi="Times New Roman" w:cs="Times New Roman"/>
        </w:rPr>
        <w:t>. 277/2006, os conselheiros reforçaram a importância da flexibilidade como sendo uma necessidade a ser conseguida a partir da interdisciplinaridade (AZEVEDO; COAN, 2013).</w:t>
      </w:r>
    </w:p>
    <w:p w:rsidR="008808DD" w:rsidRPr="00B03735" w:rsidRDefault="008808DD" w:rsidP="008808DD">
      <w:pPr>
        <w:pStyle w:val="NormalWeb"/>
        <w:spacing w:before="0" w:after="0" w:line="360" w:lineRule="auto"/>
        <w:ind w:firstLine="567"/>
        <w:jc w:val="both"/>
        <w:rPr>
          <w:rFonts w:ascii="Times New Roman" w:hAnsi="Times New Roman" w:cs="Times New Roman"/>
        </w:rPr>
      </w:pPr>
      <w:r w:rsidRPr="00B03735">
        <w:rPr>
          <w:rFonts w:ascii="Times New Roman" w:eastAsia="SimHei" w:hAnsi="Times New Roman" w:cs="Times New Roman"/>
        </w:rPr>
        <w:t>Na data de 24 de abril de 2007</w:t>
      </w:r>
      <w:r w:rsidRPr="00B03735">
        <w:rPr>
          <w:rStyle w:val="Refdenotaderodap"/>
          <w:rFonts w:eastAsia="SimHei"/>
        </w:rPr>
        <w:footnoteReference w:id="1"/>
      </w:r>
      <w:r w:rsidRPr="00B03735">
        <w:rPr>
          <w:rFonts w:ascii="Times New Roman" w:eastAsia="SimHei" w:hAnsi="Times New Roman" w:cs="Times New Roman"/>
        </w:rPr>
        <w:t xml:space="preserve">, o </w:t>
      </w:r>
      <w:r w:rsidRPr="00B03735">
        <w:rPr>
          <w:rFonts w:ascii="Times New Roman" w:hAnsi="Times New Roman" w:cs="Times New Roman"/>
        </w:rPr>
        <w:t>Decreto n</w:t>
      </w:r>
      <w:r w:rsidRPr="00B03735">
        <w:rPr>
          <w:rFonts w:ascii="Times New Roman" w:hAnsi="Times New Roman" w:cs="Times New Roman"/>
          <w:vertAlign w:val="superscript"/>
        </w:rPr>
        <w:t>o</w:t>
      </w:r>
      <w:r w:rsidRPr="00B03735">
        <w:rPr>
          <w:rFonts w:ascii="Times New Roman" w:hAnsi="Times New Roman" w:cs="Times New Roman"/>
        </w:rPr>
        <w:t>. 6.095 estabelece as</w:t>
      </w:r>
      <w:r w:rsidRPr="00B03735">
        <w:rPr>
          <w:rFonts w:ascii="Times New Roman" w:hAnsi="Times New Roman" w:cs="Times New Roman"/>
          <w:b/>
        </w:rPr>
        <w:t xml:space="preserve"> </w:t>
      </w:r>
      <w:r w:rsidRPr="00B03735">
        <w:rPr>
          <w:rFonts w:ascii="Times New Roman" w:hAnsi="Times New Roman" w:cs="Times New Roman"/>
        </w:rPr>
        <w:t xml:space="preserve">diretrizes para o processo de integração de instituições federais de educação tecnológica, para fins de constituição do Instituto Federal de Educação, Ciência e Tecnologia (IFET), no âmbito da Rede Federal de </w:t>
      </w:r>
      <w:r w:rsidRPr="00B03735">
        <w:rPr>
          <w:rFonts w:ascii="Times New Roman" w:hAnsi="Times New Roman" w:cs="Times New Roman"/>
          <w:color w:val="auto"/>
          <w:shd w:val="clear" w:color="auto" w:fill="FFFFFF"/>
        </w:rPr>
        <w:t>Educação Profissional, Científica e Tecnológica</w:t>
      </w:r>
      <w:r w:rsidRPr="00B03735">
        <w:rPr>
          <w:rFonts w:ascii="Times New Roman" w:hAnsi="Times New Roman" w:cs="Times New Roman"/>
          <w:color w:val="auto"/>
        </w:rPr>
        <w:t xml:space="preserve">. </w:t>
      </w:r>
      <w:r w:rsidRPr="00B03735">
        <w:rPr>
          <w:rFonts w:ascii="Times New Roman" w:hAnsi="Times New Roman" w:cs="Times New Roman"/>
        </w:rPr>
        <w:t xml:space="preserve">Neste, foi delineado que os </w:t>
      </w:r>
      <w:proofErr w:type="spellStart"/>
      <w:r w:rsidRPr="00B03735">
        <w:rPr>
          <w:rFonts w:ascii="Times New Roman" w:hAnsi="Times New Roman" w:cs="Times New Roman"/>
        </w:rPr>
        <w:t>IFETs</w:t>
      </w:r>
      <w:proofErr w:type="spellEnd"/>
      <w:r w:rsidRPr="00B03735">
        <w:rPr>
          <w:rFonts w:ascii="Times New Roman" w:hAnsi="Times New Roman" w:cs="Times New Roman"/>
        </w:rPr>
        <w:t xml:space="preserve"> se caracterizam como instituições de educação superior, básica e profissional, </w:t>
      </w:r>
      <w:proofErr w:type="spellStart"/>
      <w:r w:rsidRPr="00B03735">
        <w:rPr>
          <w:rFonts w:ascii="Times New Roman" w:hAnsi="Times New Roman" w:cs="Times New Roman"/>
        </w:rPr>
        <w:t>pluricurricular</w:t>
      </w:r>
      <w:proofErr w:type="spellEnd"/>
      <w:r w:rsidRPr="00B03735">
        <w:rPr>
          <w:rFonts w:ascii="Times New Roman" w:hAnsi="Times New Roman" w:cs="Times New Roman"/>
        </w:rPr>
        <w:t xml:space="preserve"> e </w:t>
      </w:r>
      <w:proofErr w:type="spellStart"/>
      <w:r w:rsidRPr="00B03735">
        <w:rPr>
          <w:rFonts w:ascii="Times New Roman" w:hAnsi="Times New Roman" w:cs="Times New Roman"/>
          <w:i/>
        </w:rPr>
        <w:t>multicampi</w:t>
      </w:r>
      <w:proofErr w:type="spellEnd"/>
      <w:r w:rsidRPr="00B03735">
        <w:rPr>
          <w:rFonts w:ascii="Times New Roman" w:hAnsi="Times New Roman" w:cs="Times New Roman"/>
        </w:rPr>
        <w:t xml:space="preserve">, especializadas na oferta de educação profissional e tecnológica nas diferentes modalidades de ensino, com base na conjugação de conhecimentos técnicos e </w:t>
      </w:r>
      <w:r w:rsidRPr="00B03735">
        <w:rPr>
          <w:rFonts w:ascii="Times New Roman" w:hAnsi="Times New Roman" w:cs="Times New Roman"/>
        </w:rPr>
        <w:lastRenderedPageBreak/>
        <w:t>tecnológicos às suas práticas pedagógicas (Art. 01, § 2</w:t>
      </w:r>
      <w:r w:rsidRPr="00B03735">
        <w:rPr>
          <w:rFonts w:ascii="Times New Roman" w:hAnsi="Times New Roman" w:cs="Times New Roman"/>
          <w:u w:val="single"/>
          <w:vertAlign w:val="superscript"/>
        </w:rPr>
        <w:t>o</w:t>
      </w:r>
      <w:r w:rsidRPr="00B03735">
        <w:rPr>
          <w:rFonts w:ascii="Times New Roman" w:hAnsi="Times New Roman" w:cs="Times New Roman"/>
        </w:rPr>
        <w:t>). No que diz respeito à implantação dos Institutos deve-se levar em consideração bases territoriais definidas, como dimensão geográfica e as características históricas, culturais, sociais e econômicas (Art. 01, § 3</w:t>
      </w:r>
      <w:r w:rsidRPr="00B03735">
        <w:rPr>
          <w:rFonts w:ascii="Times New Roman" w:hAnsi="Times New Roman" w:cs="Times New Roman"/>
          <w:u w:val="single"/>
          <w:vertAlign w:val="superscript"/>
        </w:rPr>
        <w:t>o</w:t>
      </w:r>
      <w:r w:rsidRPr="00B03735">
        <w:rPr>
          <w:rFonts w:ascii="Times New Roman" w:hAnsi="Times New Roman" w:cs="Times New Roman"/>
        </w:rPr>
        <w:t>).</w:t>
      </w:r>
    </w:p>
    <w:p w:rsidR="008808DD" w:rsidRPr="00B03735" w:rsidRDefault="008808DD" w:rsidP="002A7B26">
      <w:pPr>
        <w:pStyle w:val="NormalWeb"/>
        <w:spacing w:before="0" w:after="0" w:line="360" w:lineRule="auto"/>
        <w:ind w:firstLine="567"/>
        <w:jc w:val="both"/>
        <w:rPr>
          <w:rFonts w:ascii="Times New Roman" w:hAnsi="Times New Roman" w:cs="Times New Roman"/>
        </w:rPr>
      </w:pPr>
      <w:r w:rsidRPr="00B03735">
        <w:rPr>
          <w:rFonts w:ascii="Times New Roman" w:hAnsi="Times New Roman" w:cs="Times New Roman"/>
        </w:rPr>
        <w:t>Segundo este documento, a vocação dos Institutos é formar e qualificar profissionais para os diversos setores da economia, em estreita articulação com os setores produtivos e a sociedade (Art. 4, § 1</w:t>
      </w:r>
      <w:r w:rsidRPr="00B03735">
        <w:rPr>
          <w:rFonts w:ascii="Times New Roman" w:hAnsi="Times New Roman" w:cs="Times New Roman"/>
          <w:u w:val="single"/>
          <w:vertAlign w:val="superscript"/>
        </w:rPr>
        <w:t>o</w:t>
      </w:r>
      <w:r w:rsidRPr="00B03735">
        <w:rPr>
          <w:rFonts w:ascii="Times New Roman" w:hAnsi="Times New Roman" w:cs="Times New Roman"/>
        </w:rPr>
        <w:t>, I), visando a consolidação e fortalecimento dos arranjos produtivos locais (Art. 4, § 1</w:t>
      </w:r>
      <w:r w:rsidRPr="00B03735">
        <w:rPr>
          <w:rFonts w:ascii="Times New Roman" w:hAnsi="Times New Roman" w:cs="Times New Roman"/>
          <w:u w:val="single"/>
          <w:vertAlign w:val="superscript"/>
        </w:rPr>
        <w:t>o</w:t>
      </w:r>
      <w:r w:rsidRPr="00B03735">
        <w:rPr>
          <w:rFonts w:ascii="Times New Roman" w:hAnsi="Times New Roman" w:cs="Times New Roman"/>
        </w:rPr>
        <w:t>, III), bem como estimular e apoiar processos educativos que levem à geração de trabalho e renda (Art. 4, § 1</w:t>
      </w:r>
      <w:r w:rsidRPr="00B03735">
        <w:rPr>
          <w:rFonts w:ascii="Times New Roman" w:hAnsi="Times New Roman" w:cs="Times New Roman"/>
          <w:u w:val="single"/>
          <w:vertAlign w:val="superscript"/>
        </w:rPr>
        <w:t>o</w:t>
      </w:r>
      <w:r w:rsidRPr="00B03735">
        <w:rPr>
          <w:rFonts w:ascii="Times New Roman" w:hAnsi="Times New Roman" w:cs="Times New Roman"/>
        </w:rPr>
        <w:t>, IV). Em relação à oferta de educação superior, objetiva-se formar profissionais para os diferentes setores da economia (Art. 4, § 1</w:t>
      </w:r>
      <w:r w:rsidRPr="00B03735">
        <w:rPr>
          <w:rFonts w:ascii="Times New Roman" w:hAnsi="Times New Roman" w:cs="Times New Roman"/>
          <w:u w:val="single"/>
          <w:vertAlign w:val="superscript"/>
        </w:rPr>
        <w:t>o</w:t>
      </w:r>
      <w:r w:rsidRPr="00B03735">
        <w:rPr>
          <w:rFonts w:ascii="Times New Roman" w:hAnsi="Times New Roman" w:cs="Times New Roman"/>
        </w:rPr>
        <w:t>, VII, a).</w:t>
      </w:r>
    </w:p>
    <w:p w:rsidR="008808DD" w:rsidRPr="00B03735" w:rsidRDefault="00EE29FC" w:rsidP="002A7B26">
      <w:pPr>
        <w:spacing w:line="360" w:lineRule="auto"/>
        <w:ind w:firstLine="567"/>
        <w:jc w:val="both"/>
        <w:rPr>
          <w:rFonts w:ascii="Times New Roman" w:hAnsi="Times New Roman" w:cs="Times New Roman"/>
        </w:rPr>
      </w:pPr>
      <w:r>
        <w:rPr>
          <w:rFonts w:ascii="Times New Roman" w:hAnsi="Times New Roman" w:cs="Times New Roman"/>
        </w:rPr>
        <w:t>Neste sentido, n</w:t>
      </w:r>
      <w:r w:rsidR="008808DD" w:rsidRPr="00B03735">
        <w:rPr>
          <w:rFonts w:ascii="Times New Roman" w:hAnsi="Times New Roman" w:cs="Times New Roman"/>
        </w:rPr>
        <w:t>o dia 12 de dezembro de 2007, o MEC emitiu a Chamada Pública MEC/</w:t>
      </w:r>
      <w:r w:rsidR="008808DD" w:rsidRPr="00B03735">
        <w:rPr>
          <w:rFonts w:ascii="Times New Roman" w:hAnsi="Times New Roman" w:cs="Times New Roman"/>
          <w:color w:val="444444"/>
          <w:shd w:val="clear" w:color="auto" w:fill="FFFFFF"/>
        </w:rPr>
        <w:t xml:space="preserve"> </w:t>
      </w:r>
      <w:r w:rsidR="008808DD" w:rsidRPr="00B03735">
        <w:rPr>
          <w:rFonts w:ascii="Times New Roman" w:hAnsi="Times New Roman" w:cs="Times New Roman"/>
          <w:shd w:val="clear" w:color="auto" w:fill="FFFFFF"/>
        </w:rPr>
        <w:t>Secretaria de Educação Profissional e Tecnológica</w:t>
      </w:r>
      <w:r w:rsidR="008808DD" w:rsidRPr="00B03735">
        <w:rPr>
          <w:rFonts w:ascii="Times New Roman" w:hAnsi="Times New Roman" w:cs="Times New Roman"/>
        </w:rPr>
        <w:t xml:space="preserve"> (SETEC) 02/2007, objetivando acolher, num prazo de 90 dias, propostas de constituição dos Institutos. Neste contexto foram elaborados e enviados à SETEC/MEC documentos dos conselhos da Rede: Conselho de Dirigentes dos Centros Federais de Educação Tecnológica (CONCEFET) (2007), Conselho das Escolas </w:t>
      </w:r>
      <w:proofErr w:type="spellStart"/>
      <w:r w:rsidR="008808DD" w:rsidRPr="00B03735">
        <w:rPr>
          <w:rFonts w:ascii="Times New Roman" w:hAnsi="Times New Roman" w:cs="Times New Roman"/>
        </w:rPr>
        <w:t>Agrotécnicas</w:t>
      </w:r>
      <w:proofErr w:type="spellEnd"/>
      <w:r w:rsidR="008808DD" w:rsidRPr="00B03735">
        <w:rPr>
          <w:rFonts w:ascii="Times New Roman" w:hAnsi="Times New Roman" w:cs="Times New Roman"/>
        </w:rPr>
        <w:t xml:space="preserve"> Federais (CONEAF) (2007) e o Conselho Nacional de Dirigentes das Escolas Técnicas vinculadas às Universidades Federais (CONDETUF) (2007). Em, 31 de março de 2008 a Portaria MEC/SETEC n</w:t>
      </w:r>
      <w:r w:rsidR="008808DD" w:rsidRPr="00B03735">
        <w:rPr>
          <w:rFonts w:ascii="Times New Roman" w:hAnsi="Times New Roman" w:cs="Times New Roman"/>
          <w:vertAlign w:val="superscript"/>
        </w:rPr>
        <w:t>o</w:t>
      </w:r>
      <w:r w:rsidR="008808DD" w:rsidRPr="00B03735">
        <w:rPr>
          <w:rFonts w:ascii="Times New Roman" w:hAnsi="Times New Roman" w:cs="Times New Roman"/>
        </w:rPr>
        <w:t xml:space="preserve">. 116 apresentou o resultado da Chamada Pública. Em junho de 2008, foi lançado o documento “Concepções e Diretrizes dos Institutos Federais de Educação, Ciência e Tecnologia” o qual está descrito a seguir. Em julho de 2008, o Poder Executivo apresenta ao Congresso Nacional o Projeto de Lei (PL) 3.775/2008 que propõe a instituição da Rede Federal de </w:t>
      </w:r>
      <w:r w:rsidR="008808DD" w:rsidRPr="00B03735">
        <w:rPr>
          <w:rFonts w:ascii="Times New Roman" w:eastAsia="SimHei" w:hAnsi="Times New Roman" w:cs="Times New Roman"/>
        </w:rPr>
        <w:t>EPCT</w:t>
      </w:r>
      <w:r w:rsidR="008808DD" w:rsidRPr="00B03735">
        <w:rPr>
          <w:rFonts w:ascii="Times New Roman" w:hAnsi="Times New Roman" w:cs="Times New Roman"/>
        </w:rPr>
        <w:t xml:space="preserve"> e a criação dos </w:t>
      </w:r>
      <w:proofErr w:type="spellStart"/>
      <w:r w:rsidR="008808DD" w:rsidRPr="00B03735">
        <w:rPr>
          <w:rFonts w:ascii="Times New Roman" w:hAnsi="Times New Roman" w:cs="Times New Roman"/>
        </w:rPr>
        <w:t>IFs</w:t>
      </w:r>
      <w:proofErr w:type="spellEnd"/>
      <w:r w:rsidR="008808DD" w:rsidRPr="00B03735">
        <w:rPr>
          <w:rFonts w:ascii="Times New Roman" w:hAnsi="Times New Roman" w:cs="Times New Roman"/>
        </w:rPr>
        <w:t>.</w:t>
      </w:r>
    </w:p>
    <w:p w:rsidR="008808DD" w:rsidRPr="00B03735" w:rsidRDefault="008808DD" w:rsidP="002C4253">
      <w:pPr>
        <w:spacing w:line="360" w:lineRule="auto"/>
        <w:ind w:firstLine="567"/>
        <w:jc w:val="both"/>
        <w:rPr>
          <w:rFonts w:ascii="Times New Roman" w:hAnsi="Times New Roman" w:cs="Times New Roman"/>
          <w:color w:val="FF0000"/>
        </w:rPr>
      </w:pPr>
      <w:r w:rsidRPr="00B03735">
        <w:rPr>
          <w:rFonts w:ascii="Times New Roman" w:hAnsi="Times New Roman" w:cs="Times New Roman"/>
        </w:rPr>
        <w:t>Após o processo legal de discussões e articulações e, tendo em vista os princípios formuladores do PDE, no dia 29 de dezembro de 2008, via Lei n</w:t>
      </w:r>
      <w:r w:rsidRPr="00B03735">
        <w:rPr>
          <w:rFonts w:ascii="Times New Roman" w:hAnsi="Times New Roman" w:cs="Times New Roman"/>
          <w:vertAlign w:val="superscript"/>
        </w:rPr>
        <w:t>o</w:t>
      </w:r>
      <w:r w:rsidRPr="00B03735">
        <w:rPr>
          <w:rFonts w:ascii="Times New Roman" w:hAnsi="Times New Roman" w:cs="Times New Roman"/>
        </w:rPr>
        <w:t xml:space="preserve">. 11.892, foi instituída a Rede Federal de </w:t>
      </w:r>
      <w:r w:rsidRPr="00B03735">
        <w:rPr>
          <w:rFonts w:ascii="Times New Roman" w:eastAsia="SimHei" w:hAnsi="Times New Roman" w:cs="Times New Roman"/>
        </w:rPr>
        <w:t>EPCT</w:t>
      </w:r>
      <w:r w:rsidRPr="00B03735">
        <w:rPr>
          <w:rFonts w:ascii="Times New Roman" w:hAnsi="Times New Roman" w:cs="Times New Roman"/>
        </w:rPr>
        <w:t xml:space="preserve">, criando assim os Institutos Federais de Educação, Ciência e Tecnologia. </w:t>
      </w:r>
    </w:p>
    <w:p w:rsidR="002C4253" w:rsidRDefault="008808DD" w:rsidP="002C4253">
      <w:pPr>
        <w:autoSpaceDE w:val="0"/>
        <w:autoSpaceDN w:val="0"/>
        <w:adjustRightInd w:val="0"/>
        <w:spacing w:line="360" w:lineRule="auto"/>
        <w:ind w:firstLine="567"/>
        <w:jc w:val="both"/>
        <w:rPr>
          <w:rStyle w:val="Hyperlink"/>
          <w:rFonts w:ascii="Times New Roman" w:hAnsi="Times New Roman" w:cs="Times New Roman"/>
          <w:color w:val="auto"/>
          <w:u w:val="none"/>
        </w:rPr>
      </w:pPr>
      <w:r w:rsidRPr="00B03735">
        <w:rPr>
          <w:rFonts w:ascii="Times New Roman" w:hAnsi="Times New Roman" w:cs="Times New Roman"/>
        </w:rPr>
        <w:t xml:space="preserve">No site do MEC é apresentado o percurso histórico da educação profissional, técnica e tecnológica e o número total de 38 </w:t>
      </w:r>
      <w:proofErr w:type="spellStart"/>
      <w:r w:rsidRPr="00B03735">
        <w:rPr>
          <w:rFonts w:ascii="Times New Roman" w:hAnsi="Times New Roman" w:cs="Times New Roman"/>
        </w:rPr>
        <w:t>IFs</w:t>
      </w:r>
      <w:proofErr w:type="spellEnd"/>
      <w:r w:rsidRPr="00B03735">
        <w:rPr>
          <w:rFonts w:ascii="Times New Roman" w:hAnsi="Times New Roman" w:cs="Times New Roman"/>
        </w:rPr>
        <w:t xml:space="preserve">, e seus devidos </w:t>
      </w:r>
      <w:r w:rsidRPr="00B03735">
        <w:rPr>
          <w:rFonts w:ascii="Times New Roman" w:hAnsi="Times New Roman" w:cs="Times New Roman"/>
          <w:i/>
        </w:rPr>
        <w:t xml:space="preserve">campi </w:t>
      </w:r>
      <w:r w:rsidRPr="00B03735">
        <w:rPr>
          <w:rFonts w:ascii="Times New Roman" w:hAnsi="Times New Roman" w:cs="Times New Roman"/>
        </w:rPr>
        <w:t xml:space="preserve">(primeira fase de expansão: 2008 a 2010), implantados em 2008. Ao longo das três fases (segunda: 2011 a 2012 e terceira: 2013 a 2014) de expansão, o número de </w:t>
      </w:r>
      <w:r w:rsidRPr="00B03735">
        <w:rPr>
          <w:rFonts w:ascii="Times New Roman" w:hAnsi="Times New Roman" w:cs="Times New Roman"/>
          <w:i/>
        </w:rPr>
        <w:t xml:space="preserve">campi </w:t>
      </w:r>
      <w:r w:rsidRPr="00B03735">
        <w:rPr>
          <w:rFonts w:ascii="Times New Roman" w:hAnsi="Times New Roman" w:cs="Times New Roman"/>
        </w:rPr>
        <w:t xml:space="preserve">aumentou significativamente, </w:t>
      </w:r>
      <w:r w:rsidR="0065700A">
        <w:rPr>
          <w:rFonts w:ascii="Times New Roman" w:hAnsi="Times New Roman" w:cs="Times New Roman"/>
        </w:rPr>
        <w:t xml:space="preserve">passando para um total de </w:t>
      </w:r>
      <w:r w:rsidR="00BD51B9">
        <w:rPr>
          <w:rFonts w:ascii="Times New Roman" w:hAnsi="Times New Roman" w:cs="Times New Roman"/>
        </w:rPr>
        <w:t>580, entre estes, 7</w:t>
      </w:r>
      <w:r w:rsidR="002C4253">
        <w:rPr>
          <w:rFonts w:ascii="Times New Roman" w:hAnsi="Times New Roman" w:cs="Times New Roman"/>
        </w:rPr>
        <w:t xml:space="preserve">4 são campus avançado, conforme </w:t>
      </w:r>
      <w:r w:rsidR="008B0E1F">
        <w:rPr>
          <w:rFonts w:ascii="Times New Roman" w:hAnsi="Times New Roman" w:cs="Times New Roman"/>
        </w:rPr>
        <w:t>Tabela 01 abaixo.</w:t>
      </w:r>
    </w:p>
    <w:p w:rsidR="00562D79" w:rsidRDefault="00562D79" w:rsidP="00562D79">
      <w:pPr>
        <w:jc w:val="both"/>
        <w:rPr>
          <w:sz w:val="20"/>
          <w:szCs w:val="20"/>
        </w:rPr>
      </w:pPr>
    </w:p>
    <w:p w:rsidR="00562D79" w:rsidRPr="00A84875" w:rsidRDefault="00562D79" w:rsidP="00AF2C1D">
      <w:pPr>
        <w:ind w:right="-569"/>
        <w:jc w:val="both"/>
      </w:pPr>
      <w:r w:rsidRPr="00CF3A94">
        <w:rPr>
          <w:rFonts w:ascii="Times New Roman" w:hAnsi="Times New Roman" w:cs="Times New Roman"/>
        </w:rPr>
        <w:t>Tabela 01: Número de Institutos Federais, Campus e Campus Avançando por Estado</w:t>
      </w:r>
      <w:r w:rsidRPr="00A84875">
        <w:t>.</w:t>
      </w:r>
    </w:p>
    <w:tbl>
      <w:tblPr>
        <w:tblStyle w:val="Tabelacomgrade"/>
        <w:tblW w:w="8789" w:type="dxa"/>
        <w:tblInd w:w="108" w:type="dxa"/>
        <w:tblLayout w:type="fixed"/>
        <w:tblLook w:val="04A0" w:firstRow="1" w:lastRow="0" w:firstColumn="1" w:lastColumn="0" w:noHBand="0" w:noVBand="1"/>
      </w:tblPr>
      <w:tblGrid>
        <w:gridCol w:w="2694"/>
        <w:gridCol w:w="1559"/>
        <w:gridCol w:w="1276"/>
        <w:gridCol w:w="1984"/>
        <w:gridCol w:w="1276"/>
      </w:tblGrid>
      <w:tr w:rsidR="00562D79" w:rsidRPr="00A84875" w:rsidTr="00CF3A94">
        <w:tc>
          <w:tcPr>
            <w:tcW w:w="2694" w:type="dxa"/>
          </w:tcPr>
          <w:p w:rsidR="00562D79" w:rsidRPr="00A84875" w:rsidRDefault="00562D79" w:rsidP="00031C66">
            <w:pPr>
              <w:autoSpaceDE w:val="0"/>
              <w:autoSpaceDN w:val="0"/>
              <w:adjustRightInd w:val="0"/>
              <w:jc w:val="center"/>
              <w:rPr>
                <w:b/>
                <w:sz w:val="20"/>
                <w:szCs w:val="20"/>
              </w:rPr>
            </w:pPr>
          </w:p>
        </w:tc>
        <w:tc>
          <w:tcPr>
            <w:tcW w:w="1559" w:type="dxa"/>
          </w:tcPr>
          <w:p w:rsidR="00562D79" w:rsidRPr="00A84875" w:rsidRDefault="00562D79" w:rsidP="00031C66">
            <w:pPr>
              <w:autoSpaceDE w:val="0"/>
              <w:autoSpaceDN w:val="0"/>
              <w:adjustRightInd w:val="0"/>
              <w:jc w:val="center"/>
              <w:rPr>
                <w:b/>
                <w:sz w:val="20"/>
                <w:szCs w:val="20"/>
              </w:rPr>
            </w:pPr>
            <w:r w:rsidRPr="00A84875">
              <w:rPr>
                <w:b/>
                <w:sz w:val="20"/>
                <w:szCs w:val="20"/>
              </w:rPr>
              <w:t>Instituto Federal</w:t>
            </w:r>
          </w:p>
        </w:tc>
        <w:tc>
          <w:tcPr>
            <w:tcW w:w="1276" w:type="dxa"/>
          </w:tcPr>
          <w:p w:rsidR="00562D79" w:rsidRPr="00A84875" w:rsidRDefault="00562D79" w:rsidP="00031C66">
            <w:pPr>
              <w:autoSpaceDE w:val="0"/>
              <w:autoSpaceDN w:val="0"/>
              <w:adjustRightInd w:val="0"/>
              <w:jc w:val="center"/>
              <w:rPr>
                <w:b/>
                <w:sz w:val="20"/>
                <w:szCs w:val="20"/>
              </w:rPr>
            </w:pPr>
            <w:r w:rsidRPr="00A84875">
              <w:rPr>
                <w:b/>
                <w:sz w:val="20"/>
                <w:szCs w:val="20"/>
              </w:rPr>
              <w:t>Campus</w:t>
            </w:r>
          </w:p>
        </w:tc>
        <w:tc>
          <w:tcPr>
            <w:tcW w:w="1984" w:type="dxa"/>
          </w:tcPr>
          <w:p w:rsidR="00562D79" w:rsidRPr="00A84875" w:rsidRDefault="00562D79" w:rsidP="00031C66">
            <w:pPr>
              <w:autoSpaceDE w:val="0"/>
              <w:autoSpaceDN w:val="0"/>
              <w:adjustRightInd w:val="0"/>
              <w:jc w:val="center"/>
              <w:rPr>
                <w:b/>
                <w:sz w:val="20"/>
                <w:szCs w:val="20"/>
              </w:rPr>
            </w:pPr>
            <w:r w:rsidRPr="00A84875">
              <w:rPr>
                <w:b/>
                <w:sz w:val="20"/>
                <w:szCs w:val="20"/>
              </w:rPr>
              <w:t>Campus Avançado</w:t>
            </w:r>
          </w:p>
        </w:tc>
        <w:tc>
          <w:tcPr>
            <w:tcW w:w="1276" w:type="dxa"/>
          </w:tcPr>
          <w:p w:rsidR="00562D79" w:rsidRPr="00A84875" w:rsidRDefault="00562D79" w:rsidP="00031C66">
            <w:pPr>
              <w:autoSpaceDE w:val="0"/>
              <w:autoSpaceDN w:val="0"/>
              <w:adjustRightInd w:val="0"/>
              <w:jc w:val="center"/>
              <w:rPr>
                <w:b/>
                <w:sz w:val="20"/>
                <w:szCs w:val="20"/>
              </w:rPr>
            </w:pPr>
            <w:r w:rsidRPr="00A84875">
              <w:rPr>
                <w:b/>
                <w:sz w:val="20"/>
                <w:szCs w:val="20"/>
              </w:rPr>
              <w:t>Total</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Acre</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IFAC</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05</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01</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06</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Alagoas</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IFAL</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15</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01</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16</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Amapá</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IFAP</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04</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01</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05</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Amazonas</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IFAM</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14</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01</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15</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Bahia</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IFBA</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22</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01</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23</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Bahia</w:t>
            </w:r>
          </w:p>
        </w:tc>
        <w:tc>
          <w:tcPr>
            <w:tcW w:w="1559" w:type="dxa"/>
          </w:tcPr>
          <w:p w:rsidR="00562D79" w:rsidRPr="00A84875" w:rsidRDefault="00562D79" w:rsidP="00031C66">
            <w:pPr>
              <w:autoSpaceDE w:val="0"/>
              <w:autoSpaceDN w:val="0"/>
              <w:adjustRightInd w:val="0"/>
              <w:jc w:val="center"/>
              <w:rPr>
                <w:sz w:val="20"/>
                <w:szCs w:val="20"/>
              </w:rPr>
            </w:pPr>
            <w:proofErr w:type="spellStart"/>
            <w:r w:rsidRPr="00A84875">
              <w:rPr>
                <w:sz w:val="20"/>
                <w:szCs w:val="20"/>
              </w:rPr>
              <w:t>IFBaiano</w:t>
            </w:r>
            <w:proofErr w:type="spellEnd"/>
          </w:p>
        </w:tc>
        <w:tc>
          <w:tcPr>
            <w:tcW w:w="1276" w:type="dxa"/>
          </w:tcPr>
          <w:p w:rsidR="00562D79" w:rsidRPr="00A84875" w:rsidRDefault="00562D79" w:rsidP="00133B93">
            <w:pPr>
              <w:autoSpaceDE w:val="0"/>
              <w:autoSpaceDN w:val="0"/>
              <w:adjustRightInd w:val="0"/>
              <w:jc w:val="center"/>
              <w:rPr>
                <w:sz w:val="20"/>
                <w:szCs w:val="20"/>
              </w:rPr>
            </w:pPr>
            <w:r>
              <w:rPr>
                <w:sz w:val="20"/>
                <w:szCs w:val="20"/>
              </w:rPr>
              <w:t>14</w:t>
            </w:r>
          </w:p>
        </w:tc>
        <w:tc>
          <w:tcPr>
            <w:tcW w:w="1984" w:type="dxa"/>
          </w:tcPr>
          <w:p w:rsidR="00562D79" w:rsidRPr="00A84875" w:rsidRDefault="00562D79" w:rsidP="00133B93">
            <w:pPr>
              <w:autoSpaceDE w:val="0"/>
              <w:autoSpaceDN w:val="0"/>
              <w:adjustRightInd w:val="0"/>
              <w:jc w:val="center"/>
              <w:rPr>
                <w:sz w:val="20"/>
                <w:szCs w:val="20"/>
              </w:rPr>
            </w:pP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14</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Ceará</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IFCE</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28</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03</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31</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Distrito Federal</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IFB</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10</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01</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11</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Espírito Santo</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IFES</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21</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01</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22</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Goiás</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IFG</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14</w:t>
            </w:r>
          </w:p>
        </w:tc>
        <w:tc>
          <w:tcPr>
            <w:tcW w:w="1984" w:type="dxa"/>
          </w:tcPr>
          <w:p w:rsidR="00562D79" w:rsidRPr="00A84875" w:rsidRDefault="00562D79" w:rsidP="00133B93">
            <w:pPr>
              <w:autoSpaceDE w:val="0"/>
              <w:autoSpaceDN w:val="0"/>
              <w:adjustRightInd w:val="0"/>
              <w:jc w:val="center"/>
              <w:rPr>
                <w:sz w:val="20"/>
                <w:szCs w:val="20"/>
              </w:rPr>
            </w:pP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14</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Goiás</w:t>
            </w:r>
          </w:p>
        </w:tc>
        <w:tc>
          <w:tcPr>
            <w:tcW w:w="1559" w:type="dxa"/>
          </w:tcPr>
          <w:p w:rsidR="00562D79" w:rsidRPr="00A84875" w:rsidRDefault="00562D79" w:rsidP="00031C66">
            <w:pPr>
              <w:autoSpaceDE w:val="0"/>
              <w:autoSpaceDN w:val="0"/>
              <w:adjustRightInd w:val="0"/>
              <w:jc w:val="center"/>
              <w:rPr>
                <w:sz w:val="20"/>
                <w:szCs w:val="20"/>
              </w:rPr>
            </w:pPr>
            <w:proofErr w:type="spellStart"/>
            <w:r w:rsidRPr="00A84875">
              <w:rPr>
                <w:sz w:val="20"/>
                <w:szCs w:val="20"/>
              </w:rPr>
              <w:t>IFGoiano</w:t>
            </w:r>
            <w:proofErr w:type="spellEnd"/>
          </w:p>
        </w:tc>
        <w:tc>
          <w:tcPr>
            <w:tcW w:w="1276" w:type="dxa"/>
          </w:tcPr>
          <w:p w:rsidR="00562D79" w:rsidRPr="00A84875" w:rsidRDefault="00562D79" w:rsidP="00133B93">
            <w:pPr>
              <w:autoSpaceDE w:val="0"/>
              <w:autoSpaceDN w:val="0"/>
              <w:adjustRightInd w:val="0"/>
              <w:jc w:val="center"/>
              <w:rPr>
                <w:sz w:val="20"/>
                <w:szCs w:val="20"/>
              </w:rPr>
            </w:pPr>
            <w:r>
              <w:rPr>
                <w:sz w:val="20"/>
                <w:szCs w:val="20"/>
              </w:rPr>
              <w:t>08</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04</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12</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Mato Grosso</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IFMT</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14</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05</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19</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Maranhão</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IFMA</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26</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03</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29</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Mato Grosso do Sul</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IFMS</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10</w:t>
            </w:r>
          </w:p>
        </w:tc>
        <w:tc>
          <w:tcPr>
            <w:tcW w:w="1984" w:type="dxa"/>
          </w:tcPr>
          <w:p w:rsidR="00562D79" w:rsidRPr="00A84875" w:rsidRDefault="00562D79" w:rsidP="00133B93">
            <w:pPr>
              <w:autoSpaceDE w:val="0"/>
              <w:autoSpaceDN w:val="0"/>
              <w:adjustRightInd w:val="0"/>
              <w:jc w:val="center"/>
              <w:rPr>
                <w:sz w:val="20"/>
                <w:szCs w:val="20"/>
              </w:rPr>
            </w:pP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10</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Minas Gerais</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IFMG</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12</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06</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18</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Minas Gerais</w:t>
            </w:r>
          </w:p>
        </w:tc>
        <w:tc>
          <w:tcPr>
            <w:tcW w:w="1559" w:type="dxa"/>
          </w:tcPr>
          <w:p w:rsidR="00562D79" w:rsidRPr="00A84875" w:rsidRDefault="00562D79" w:rsidP="00031C66">
            <w:pPr>
              <w:autoSpaceDE w:val="0"/>
              <w:autoSpaceDN w:val="0"/>
              <w:adjustRightInd w:val="0"/>
              <w:jc w:val="center"/>
              <w:rPr>
                <w:sz w:val="20"/>
                <w:szCs w:val="20"/>
              </w:rPr>
            </w:pPr>
            <w:proofErr w:type="spellStart"/>
            <w:r w:rsidRPr="00A84875">
              <w:rPr>
                <w:sz w:val="20"/>
                <w:szCs w:val="20"/>
              </w:rPr>
              <w:t>IFSuldeminas</w:t>
            </w:r>
            <w:proofErr w:type="spellEnd"/>
          </w:p>
        </w:tc>
        <w:tc>
          <w:tcPr>
            <w:tcW w:w="1276" w:type="dxa"/>
          </w:tcPr>
          <w:p w:rsidR="00562D79" w:rsidRPr="00A84875" w:rsidRDefault="00562D79" w:rsidP="00133B93">
            <w:pPr>
              <w:autoSpaceDE w:val="0"/>
              <w:autoSpaceDN w:val="0"/>
              <w:adjustRightInd w:val="0"/>
              <w:jc w:val="center"/>
              <w:rPr>
                <w:sz w:val="20"/>
                <w:szCs w:val="20"/>
              </w:rPr>
            </w:pPr>
            <w:r>
              <w:rPr>
                <w:sz w:val="20"/>
                <w:szCs w:val="20"/>
              </w:rPr>
              <w:t>06</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02</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08</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Minas Gerais</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IFNMG</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09</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02</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11</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Minas Gerais</w:t>
            </w:r>
          </w:p>
        </w:tc>
        <w:tc>
          <w:tcPr>
            <w:tcW w:w="1559" w:type="dxa"/>
          </w:tcPr>
          <w:p w:rsidR="00562D79" w:rsidRPr="00A84875" w:rsidRDefault="00562D79" w:rsidP="00031C66">
            <w:pPr>
              <w:autoSpaceDE w:val="0"/>
              <w:autoSpaceDN w:val="0"/>
              <w:adjustRightInd w:val="0"/>
              <w:jc w:val="center"/>
              <w:rPr>
                <w:sz w:val="20"/>
                <w:szCs w:val="20"/>
              </w:rPr>
            </w:pPr>
            <w:proofErr w:type="spellStart"/>
            <w:r w:rsidRPr="00A84875">
              <w:rPr>
                <w:sz w:val="20"/>
                <w:szCs w:val="20"/>
              </w:rPr>
              <w:t>IFSudesteMG</w:t>
            </w:r>
            <w:proofErr w:type="spellEnd"/>
          </w:p>
        </w:tc>
        <w:tc>
          <w:tcPr>
            <w:tcW w:w="1276" w:type="dxa"/>
          </w:tcPr>
          <w:p w:rsidR="00562D79" w:rsidRPr="00A84875" w:rsidRDefault="00562D79" w:rsidP="00133B93">
            <w:pPr>
              <w:autoSpaceDE w:val="0"/>
              <w:autoSpaceDN w:val="0"/>
              <w:adjustRightInd w:val="0"/>
              <w:jc w:val="center"/>
              <w:rPr>
                <w:sz w:val="20"/>
                <w:szCs w:val="20"/>
              </w:rPr>
            </w:pPr>
            <w:r>
              <w:rPr>
                <w:sz w:val="20"/>
                <w:szCs w:val="20"/>
              </w:rPr>
              <w:t>07</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03</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10</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Minas Gerais</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IFTM</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07</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02</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09</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Pará</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IFPA</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17</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01</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18</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Paraíba</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IFPB</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15</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03</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18</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Paraná</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IFPR</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20</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05</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25</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Pernambuco</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IFPE</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15</w:t>
            </w:r>
          </w:p>
        </w:tc>
        <w:tc>
          <w:tcPr>
            <w:tcW w:w="1984" w:type="dxa"/>
          </w:tcPr>
          <w:p w:rsidR="00562D79" w:rsidRPr="00A84875" w:rsidRDefault="00562D79" w:rsidP="00133B93">
            <w:pPr>
              <w:autoSpaceDE w:val="0"/>
              <w:autoSpaceDN w:val="0"/>
              <w:adjustRightInd w:val="0"/>
              <w:jc w:val="center"/>
              <w:rPr>
                <w:sz w:val="20"/>
                <w:szCs w:val="20"/>
              </w:rPr>
            </w:pP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15</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Pernambuco</w:t>
            </w:r>
          </w:p>
        </w:tc>
        <w:tc>
          <w:tcPr>
            <w:tcW w:w="1559" w:type="dxa"/>
          </w:tcPr>
          <w:p w:rsidR="00562D79" w:rsidRPr="00A84875" w:rsidRDefault="00562D79" w:rsidP="00031C66">
            <w:pPr>
              <w:autoSpaceDE w:val="0"/>
              <w:autoSpaceDN w:val="0"/>
              <w:adjustRightInd w:val="0"/>
              <w:jc w:val="center"/>
              <w:rPr>
                <w:sz w:val="20"/>
                <w:szCs w:val="20"/>
              </w:rPr>
            </w:pPr>
            <w:proofErr w:type="spellStart"/>
            <w:r w:rsidRPr="00A84875">
              <w:rPr>
                <w:sz w:val="20"/>
                <w:szCs w:val="20"/>
              </w:rPr>
              <w:t>IFSertão</w:t>
            </w:r>
            <w:proofErr w:type="spellEnd"/>
            <w:r w:rsidRPr="00A84875">
              <w:rPr>
                <w:sz w:val="20"/>
                <w:szCs w:val="20"/>
              </w:rPr>
              <w:t>-PE</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07</w:t>
            </w:r>
          </w:p>
        </w:tc>
        <w:tc>
          <w:tcPr>
            <w:tcW w:w="1984" w:type="dxa"/>
          </w:tcPr>
          <w:p w:rsidR="00562D79" w:rsidRPr="00A84875" w:rsidRDefault="00562D79" w:rsidP="00133B93">
            <w:pPr>
              <w:autoSpaceDE w:val="0"/>
              <w:autoSpaceDN w:val="0"/>
              <w:adjustRightInd w:val="0"/>
              <w:jc w:val="center"/>
              <w:rPr>
                <w:sz w:val="20"/>
                <w:szCs w:val="20"/>
              </w:rPr>
            </w:pP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07</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Piauí</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IFPI</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17</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03</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20</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Rio de Janeiro</w:t>
            </w:r>
          </w:p>
        </w:tc>
        <w:tc>
          <w:tcPr>
            <w:tcW w:w="1559" w:type="dxa"/>
          </w:tcPr>
          <w:p w:rsidR="00562D79" w:rsidRPr="00A84875" w:rsidRDefault="00562D79" w:rsidP="00031C66">
            <w:pPr>
              <w:autoSpaceDE w:val="0"/>
              <w:autoSpaceDN w:val="0"/>
              <w:adjustRightInd w:val="0"/>
              <w:jc w:val="center"/>
              <w:rPr>
                <w:sz w:val="20"/>
                <w:szCs w:val="20"/>
              </w:rPr>
            </w:pPr>
            <w:proofErr w:type="spellStart"/>
            <w:r w:rsidRPr="00A84875">
              <w:rPr>
                <w:sz w:val="20"/>
                <w:szCs w:val="20"/>
              </w:rPr>
              <w:t>IFFluminense</w:t>
            </w:r>
            <w:proofErr w:type="spellEnd"/>
          </w:p>
        </w:tc>
        <w:tc>
          <w:tcPr>
            <w:tcW w:w="1276" w:type="dxa"/>
          </w:tcPr>
          <w:p w:rsidR="00562D79" w:rsidRPr="00A84875" w:rsidRDefault="00562D79" w:rsidP="00133B93">
            <w:pPr>
              <w:autoSpaceDE w:val="0"/>
              <w:autoSpaceDN w:val="0"/>
              <w:adjustRightInd w:val="0"/>
              <w:jc w:val="center"/>
              <w:rPr>
                <w:sz w:val="20"/>
                <w:szCs w:val="20"/>
              </w:rPr>
            </w:pPr>
            <w:r>
              <w:rPr>
                <w:sz w:val="20"/>
                <w:szCs w:val="20"/>
              </w:rPr>
              <w:t>09</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03</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12</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Rio de Janeiro</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IFRJ</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10</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02</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12</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Rio Grande do Norte</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IFRN</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18</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02</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20</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Rio Grande do Sul</w:t>
            </w:r>
          </w:p>
        </w:tc>
        <w:tc>
          <w:tcPr>
            <w:tcW w:w="1559" w:type="dxa"/>
          </w:tcPr>
          <w:p w:rsidR="00562D79" w:rsidRPr="00A84875" w:rsidRDefault="00562D79" w:rsidP="00031C66">
            <w:pPr>
              <w:autoSpaceDE w:val="0"/>
              <w:autoSpaceDN w:val="0"/>
              <w:adjustRightInd w:val="0"/>
              <w:jc w:val="center"/>
              <w:rPr>
                <w:sz w:val="20"/>
                <w:szCs w:val="20"/>
              </w:rPr>
            </w:pPr>
            <w:proofErr w:type="spellStart"/>
            <w:r w:rsidRPr="00A84875">
              <w:rPr>
                <w:sz w:val="20"/>
                <w:szCs w:val="20"/>
              </w:rPr>
              <w:t>IFSul</w:t>
            </w:r>
            <w:proofErr w:type="spellEnd"/>
          </w:p>
        </w:tc>
        <w:tc>
          <w:tcPr>
            <w:tcW w:w="1276" w:type="dxa"/>
          </w:tcPr>
          <w:p w:rsidR="00562D79" w:rsidRPr="00A84875" w:rsidRDefault="00562D79" w:rsidP="00133B93">
            <w:pPr>
              <w:autoSpaceDE w:val="0"/>
              <w:autoSpaceDN w:val="0"/>
              <w:adjustRightInd w:val="0"/>
              <w:jc w:val="center"/>
              <w:rPr>
                <w:sz w:val="20"/>
                <w:szCs w:val="20"/>
              </w:rPr>
            </w:pPr>
            <w:r>
              <w:rPr>
                <w:sz w:val="20"/>
                <w:szCs w:val="20"/>
              </w:rPr>
              <w:t>12</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02</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14</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Rio Grande do Sul</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IFRS</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16</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01</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17</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Rio Grande do Sul</w:t>
            </w:r>
          </w:p>
        </w:tc>
        <w:tc>
          <w:tcPr>
            <w:tcW w:w="1559" w:type="dxa"/>
          </w:tcPr>
          <w:p w:rsidR="00562D79" w:rsidRPr="00A84875" w:rsidRDefault="00562D79" w:rsidP="00031C66">
            <w:pPr>
              <w:autoSpaceDE w:val="0"/>
              <w:autoSpaceDN w:val="0"/>
              <w:adjustRightInd w:val="0"/>
              <w:jc w:val="center"/>
              <w:rPr>
                <w:sz w:val="20"/>
                <w:szCs w:val="20"/>
              </w:rPr>
            </w:pPr>
            <w:proofErr w:type="spellStart"/>
            <w:r w:rsidRPr="00A84875">
              <w:rPr>
                <w:sz w:val="20"/>
                <w:szCs w:val="20"/>
              </w:rPr>
              <w:t>IFFarroupilha</w:t>
            </w:r>
            <w:proofErr w:type="spellEnd"/>
          </w:p>
        </w:tc>
        <w:tc>
          <w:tcPr>
            <w:tcW w:w="1276" w:type="dxa"/>
          </w:tcPr>
          <w:p w:rsidR="00562D79" w:rsidRPr="00A84875" w:rsidRDefault="00562D79" w:rsidP="00133B93">
            <w:pPr>
              <w:autoSpaceDE w:val="0"/>
              <w:autoSpaceDN w:val="0"/>
              <w:adjustRightInd w:val="0"/>
              <w:jc w:val="center"/>
              <w:rPr>
                <w:sz w:val="20"/>
                <w:szCs w:val="20"/>
              </w:rPr>
            </w:pPr>
            <w:r>
              <w:rPr>
                <w:sz w:val="20"/>
                <w:szCs w:val="20"/>
              </w:rPr>
              <w:t>09</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01</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10</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Rondônia</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IFRO</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08</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01</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09</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Roraima</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IFRR</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04</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01</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05</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São Paulo</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IFSP</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32</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06</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38</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Santa Catarina</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IFSC</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21</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01</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22</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Santa Catarina</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IFC</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13</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02</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15</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Sergipe</w:t>
            </w:r>
          </w:p>
        </w:tc>
        <w:tc>
          <w:tcPr>
            <w:tcW w:w="1559" w:type="dxa"/>
          </w:tcPr>
          <w:p w:rsidR="00562D79" w:rsidRPr="00A84875" w:rsidRDefault="00562D79" w:rsidP="00031C66">
            <w:pPr>
              <w:autoSpaceDE w:val="0"/>
              <w:autoSpaceDN w:val="0"/>
              <w:adjustRightInd w:val="0"/>
              <w:jc w:val="center"/>
              <w:rPr>
                <w:sz w:val="20"/>
                <w:szCs w:val="20"/>
              </w:rPr>
            </w:pPr>
            <w:r w:rsidRPr="00A84875">
              <w:rPr>
                <w:sz w:val="20"/>
                <w:szCs w:val="20"/>
              </w:rPr>
              <w:t>IFS</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10</w:t>
            </w:r>
          </w:p>
        </w:tc>
        <w:tc>
          <w:tcPr>
            <w:tcW w:w="1984" w:type="dxa"/>
          </w:tcPr>
          <w:p w:rsidR="00562D79" w:rsidRPr="00A84875" w:rsidRDefault="00562D79" w:rsidP="00133B93">
            <w:pPr>
              <w:autoSpaceDE w:val="0"/>
              <w:autoSpaceDN w:val="0"/>
              <w:adjustRightInd w:val="0"/>
              <w:jc w:val="center"/>
              <w:rPr>
                <w:sz w:val="20"/>
                <w:szCs w:val="20"/>
              </w:rPr>
            </w:pP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10</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r w:rsidRPr="00A84875">
              <w:rPr>
                <w:b/>
                <w:sz w:val="20"/>
                <w:szCs w:val="20"/>
              </w:rPr>
              <w:t>Tocantins</w:t>
            </w:r>
          </w:p>
        </w:tc>
        <w:tc>
          <w:tcPr>
            <w:tcW w:w="1559" w:type="dxa"/>
          </w:tcPr>
          <w:p w:rsidR="00562D79" w:rsidRPr="00A84875" w:rsidRDefault="00562D79" w:rsidP="00031C66">
            <w:pPr>
              <w:autoSpaceDE w:val="0"/>
              <w:autoSpaceDN w:val="0"/>
              <w:adjustRightInd w:val="0"/>
              <w:jc w:val="center"/>
              <w:rPr>
                <w:sz w:val="20"/>
                <w:szCs w:val="20"/>
              </w:rPr>
            </w:pPr>
            <w:r>
              <w:rPr>
                <w:sz w:val="20"/>
                <w:szCs w:val="20"/>
              </w:rPr>
              <w:t>IFTO</w:t>
            </w:r>
          </w:p>
        </w:tc>
        <w:tc>
          <w:tcPr>
            <w:tcW w:w="1276" w:type="dxa"/>
          </w:tcPr>
          <w:p w:rsidR="00562D79" w:rsidRPr="00A84875" w:rsidRDefault="00562D79" w:rsidP="00133B93">
            <w:pPr>
              <w:autoSpaceDE w:val="0"/>
              <w:autoSpaceDN w:val="0"/>
              <w:adjustRightInd w:val="0"/>
              <w:jc w:val="center"/>
              <w:rPr>
                <w:sz w:val="20"/>
                <w:szCs w:val="20"/>
              </w:rPr>
            </w:pPr>
            <w:r>
              <w:rPr>
                <w:sz w:val="20"/>
                <w:szCs w:val="20"/>
              </w:rPr>
              <w:t>07</w:t>
            </w:r>
          </w:p>
        </w:tc>
        <w:tc>
          <w:tcPr>
            <w:tcW w:w="1984" w:type="dxa"/>
          </w:tcPr>
          <w:p w:rsidR="00562D79" w:rsidRPr="00A84875" w:rsidRDefault="00562D79" w:rsidP="00133B93">
            <w:pPr>
              <w:autoSpaceDE w:val="0"/>
              <w:autoSpaceDN w:val="0"/>
              <w:adjustRightInd w:val="0"/>
              <w:jc w:val="center"/>
              <w:rPr>
                <w:sz w:val="20"/>
                <w:szCs w:val="20"/>
              </w:rPr>
            </w:pPr>
            <w:r>
              <w:rPr>
                <w:sz w:val="20"/>
                <w:szCs w:val="20"/>
              </w:rPr>
              <w:t>03</w:t>
            </w:r>
          </w:p>
        </w:tc>
        <w:tc>
          <w:tcPr>
            <w:tcW w:w="1276" w:type="dxa"/>
          </w:tcPr>
          <w:p w:rsidR="00562D79" w:rsidRPr="00A84875" w:rsidRDefault="00562D79" w:rsidP="00031C66">
            <w:pPr>
              <w:autoSpaceDE w:val="0"/>
              <w:autoSpaceDN w:val="0"/>
              <w:adjustRightInd w:val="0"/>
              <w:jc w:val="center"/>
              <w:rPr>
                <w:sz w:val="20"/>
                <w:szCs w:val="20"/>
              </w:rPr>
            </w:pPr>
            <w:r w:rsidRPr="00A84875">
              <w:rPr>
                <w:sz w:val="20"/>
                <w:szCs w:val="20"/>
              </w:rPr>
              <w:t>10</w:t>
            </w:r>
          </w:p>
        </w:tc>
      </w:tr>
      <w:tr w:rsidR="00562D79" w:rsidRPr="00A84875" w:rsidTr="00CF3A94">
        <w:tc>
          <w:tcPr>
            <w:tcW w:w="2694" w:type="dxa"/>
          </w:tcPr>
          <w:p w:rsidR="00562D79" w:rsidRPr="00A84875" w:rsidRDefault="00562D79" w:rsidP="00031C66">
            <w:pPr>
              <w:autoSpaceDE w:val="0"/>
              <w:autoSpaceDN w:val="0"/>
              <w:adjustRightInd w:val="0"/>
              <w:jc w:val="both"/>
              <w:rPr>
                <w:b/>
                <w:sz w:val="20"/>
                <w:szCs w:val="20"/>
              </w:rPr>
            </w:pPr>
          </w:p>
        </w:tc>
        <w:tc>
          <w:tcPr>
            <w:tcW w:w="1559" w:type="dxa"/>
          </w:tcPr>
          <w:p w:rsidR="00562D79" w:rsidRPr="00A84875" w:rsidRDefault="00562D79" w:rsidP="00031C66">
            <w:pPr>
              <w:autoSpaceDE w:val="0"/>
              <w:autoSpaceDN w:val="0"/>
              <w:adjustRightInd w:val="0"/>
              <w:jc w:val="right"/>
              <w:rPr>
                <w:b/>
                <w:sz w:val="20"/>
                <w:szCs w:val="20"/>
              </w:rPr>
            </w:pPr>
            <w:r w:rsidRPr="00A84875">
              <w:rPr>
                <w:b/>
                <w:sz w:val="20"/>
                <w:szCs w:val="20"/>
              </w:rPr>
              <w:t>TOTAL</w:t>
            </w:r>
          </w:p>
        </w:tc>
        <w:tc>
          <w:tcPr>
            <w:tcW w:w="1276" w:type="dxa"/>
          </w:tcPr>
          <w:p w:rsidR="00562D79" w:rsidRPr="00A84875" w:rsidRDefault="00562D79" w:rsidP="00031C66">
            <w:pPr>
              <w:autoSpaceDE w:val="0"/>
              <w:autoSpaceDN w:val="0"/>
              <w:adjustRightInd w:val="0"/>
              <w:jc w:val="right"/>
              <w:rPr>
                <w:b/>
                <w:sz w:val="20"/>
                <w:szCs w:val="20"/>
              </w:rPr>
            </w:pPr>
            <w:r w:rsidRPr="00A84875">
              <w:rPr>
                <w:b/>
                <w:sz w:val="20"/>
                <w:szCs w:val="20"/>
              </w:rPr>
              <w:t>506</w:t>
            </w:r>
          </w:p>
        </w:tc>
        <w:tc>
          <w:tcPr>
            <w:tcW w:w="1984" w:type="dxa"/>
          </w:tcPr>
          <w:p w:rsidR="00562D79" w:rsidRPr="00A84875" w:rsidRDefault="00562D79" w:rsidP="00031C66">
            <w:pPr>
              <w:autoSpaceDE w:val="0"/>
              <w:autoSpaceDN w:val="0"/>
              <w:adjustRightInd w:val="0"/>
              <w:jc w:val="right"/>
              <w:rPr>
                <w:b/>
                <w:sz w:val="20"/>
                <w:szCs w:val="20"/>
              </w:rPr>
            </w:pPr>
            <w:r w:rsidRPr="00A84875">
              <w:rPr>
                <w:b/>
                <w:sz w:val="20"/>
                <w:szCs w:val="20"/>
              </w:rPr>
              <w:t>74</w:t>
            </w:r>
          </w:p>
        </w:tc>
        <w:tc>
          <w:tcPr>
            <w:tcW w:w="1276" w:type="dxa"/>
          </w:tcPr>
          <w:p w:rsidR="00562D79" w:rsidRPr="00A84875" w:rsidRDefault="00562D79" w:rsidP="00031C66">
            <w:pPr>
              <w:autoSpaceDE w:val="0"/>
              <w:autoSpaceDN w:val="0"/>
              <w:adjustRightInd w:val="0"/>
              <w:jc w:val="right"/>
              <w:rPr>
                <w:b/>
                <w:sz w:val="20"/>
                <w:szCs w:val="20"/>
              </w:rPr>
            </w:pPr>
            <w:r w:rsidRPr="00A84875">
              <w:rPr>
                <w:b/>
                <w:sz w:val="20"/>
                <w:szCs w:val="20"/>
              </w:rPr>
              <w:t>580</w:t>
            </w:r>
          </w:p>
        </w:tc>
      </w:tr>
    </w:tbl>
    <w:p w:rsidR="00562D79" w:rsidRPr="00CF3A94" w:rsidRDefault="00562D79" w:rsidP="00CF3A94">
      <w:pPr>
        <w:autoSpaceDE w:val="0"/>
        <w:autoSpaceDN w:val="0"/>
        <w:adjustRightInd w:val="0"/>
        <w:jc w:val="both"/>
        <w:rPr>
          <w:rFonts w:ascii="Times New Roman" w:hAnsi="Times New Roman" w:cs="Times New Roman"/>
        </w:rPr>
      </w:pPr>
      <w:r w:rsidRPr="00CF3A94">
        <w:rPr>
          <w:rFonts w:ascii="Times New Roman" w:hAnsi="Times New Roman" w:cs="Times New Roman"/>
        </w:rPr>
        <w:t>Elaborada pelos autores.</w:t>
      </w:r>
    </w:p>
    <w:p w:rsidR="00562D79" w:rsidRPr="00CF3A94" w:rsidRDefault="00562D79" w:rsidP="00CF3A94">
      <w:pPr>
        <w:autoSpaceDE w:val="0"/>
        <w:autoSpaceDN w:val="0"/>
        <w:adjustRightInd w:val="0"/>
        <w:jc w:val="both"/>
        <w:rPr>
          <w:rFonts w:ascii="Times New Roman" w:hAnsi="Times New Roman" w:cs="Times New Roman"/>
        </w:rPr>
      </w:pPr>
      <w:r w:rsidRPr="00CF3A94">
        <w:rPr>
          <w:rFonts w:ascii="Times New Roman" w:hAnsi="Times New Roman" w:cs="Times New Roman"/>
        </w:rPr>
        <w:t>Fonte: &lt;</w:t>
      </w:r>
      <w:hyperlink r:id="rId8" w:history="1">
        <w:r w:rsidRPr="00CF3A94">
          <w:rPr>
            <w:rStyle w:val="Hyperlink"/>
            <w:rFonts w:ascii="Times New Roman" w:hAnsi="Times New Roman" w:cs="Times New Roman"/>
            <w:color w:val="auto"/>
            <w:u w:val="none"/>
          </w:rPr>
          <w:t>http://redefederal.mec.gov.br/instituicoes</w:t>
        </w:r>
      </w:hyperlink>
      <w:r w:rsidRPr="00CF3A94">
        <w:rPr>
          <w:rStyle w:val="Hyperlink"/>
          <w:rFonts w:ascii="Times New Roman" w:hAnsi="Times New Roman" w:cs="Times New Roman"/>
          <w:color w:val="auto"/>
          <w:u w:val="none"/>
        </w:rPr>
        <w:t>&gt;. Acesso em: 14 set. 2016</w:t>
      </w:r>
    </w:p>
    <w:p w:rsidR="008B0E1F" w:rsidRPr="002B23B6" w:rsidRDefault="008B0E1F" w:rsidP="002C4253">
      <w:pPr>
        <w:autoSpaceDE w:val="0"/>
        <w:autoSpaceDN w:val="0"/>
        <w:adjustRightInd w:val="0"/>
        <w:spacing w:line="360" w:lineRule="auto"/>
        <w:ind w:firstLine="567"/>
        <w:jc w:val="both"/>
        <w:rPr>
          <w:rFonts w:ascii="Times New Roman" w:hAnsi="Times New Roman" w:cs="Times New Roman"/>
        </w:rPr>
      </w:pPr>
    </w:p>
    <w:p w:rsidR="008808DD" w:rsidRPr="00B03735" w:rsidRDefault="00801B95" w:rsidP="002C4253">
      <w:pPr>
        <w:spacing w:line="360" w:lineRule="auto"/>
        <w:ind w:firstLine="567"/>
        <w:jc w:val="both"/>
        <w:rPr>
          <w:rFonts w:ascii="Times New Roman" w:hAnsi="Times New Roman" w:cs="Times New Roman"/>
        </w:rPr>
      </w:pPr>
      <w:r>
        <w:rPr>
          <w:rFonts w:ascii="Times New Roman" w:hAnsi="Times New Roman" w:cs="Times New Roman"/>
        </w:rPr>
        <w:t>Desta forma, pode-se questionar</w:t>
      </w:r>
      <w:r w:rsidR="00B12389">
        <w:rPr>
          <w:rFonts w:ascii="Times New Roman" w:hAnsi="Times New Roman" w:cs="Times New Roman"/>
        </w:rPr>
        <w:t>:</w:t>
      </w:r>
      <w:r w:rsidR="008808DD" w:rsidRPr="00B03735">
        <w:rPr>
          <w:rFonts w:ascii="Times New Roman" w:hAnsi="Times New Roman" w:cs="Times New Roman"/>
        </w:rPr>
        <w:t xml:space="preserve"> Em que se fundamenta o modelo “Institutos Federais”? A implantação dos Institutos está vinculada a que demandas sociais?</w:t>
      </w:r>
    </w:p>
    <w:p w:rsidR="008808DD" w:rsidRPr="00B03735" w:rsidRDefault="008808DD" w:rsidP="002C4253">
      <w:pPr>
        <w:spacing w:line="360" w:lineRule="auto"/>
        <w:ind w:firstLine="567"/>
        <w:jc w:val="both"/>
        <w:rPr>
          <w:rFonts w:ascii="Times New Roman" w:hAnsi="Times New Roman" w:cs="Times New Roman"/>
        </w:rPr>
      </w:pPr>
      <w:r w:rsidRPr="00B03735">
        <w:rPr>
          <w:rFonts w:ascii="Times New Roman" w:hAnsi="Times New Roman" w:cs="Times New Roman"/>
        </w:rPr>
        <w:t>Em junho de 2008, a SETEC elaborou o documento, versão impressa, intitulado “Instituto Federal de Educação, Ciência e Tecnologia: concepção e diretrizes”. Em 2010, foi lançada a versão digitalizada deste documento com o título “Instituto Federal de Educação, Ciência e Tecnologia: Um novo modelo de educação profissional e tecnológica - concepção e diretrizes”.</w:t>
      </w:r>
      <w:r w:rsidR="00B12389">
        <w:rPr>
          <w:rFonts w:ascii="Times New Roman" w:hAnsi="Times New Roman" w:cs="Times New Roman"/>
        </w:rPr>
        <w:t xml:space="preserve"> </w:t>
      </w:r>
      <w:r w:rsidRPr="00B03735">
        <w:rPr>
          <w:rFonts w:ascii="Times New Roman" w:hAnsi="Times New Roman" w:cs="Times New Roman"/>
        </w:rPr>
        <w:t xml:space="preserve">Segundo o texto, a institucionalização dos Institutos é considerada pelo </w:t>
      </w:r>
      <w:r w:rsidRPr="00B03735">
        <w:rPr>
          <w:rFonts w:ascii="Times New Roman" w:hAnsi="Times New Roman" w:cs="Times New Roman"/>
        </w:rPr>
        <w:lastRenderedPageBreak/>
        <w:t xml:space="preserve">Governo como estratégia para o desenvolvimento local, regional e nacional e fortalecimento no processo de inserção cidadã de milhares de brasileiros, melhorando-lhes a qualidade de vida. </w:t>
      </w:r>
    </w:p>
    <w:p w:rsidR="008808DD" w:rsidRPr="00B03735" w:rsidRDefault="008808DD" w:rsidP="002A7B26">
      <w:pPr>
        <w:spacing w:line="360" w:lineRule="auto"/>
        <w:ind w:firstLine="567"/>
        <w:jc w:val="both"/>
        <w:rPr>
          <w:rFonts w:ascii="Times New Roman" w:hAnsi="Times New Roman" w:cs="Times New Roman"/>
        </w:rPr>
      </w:pPr>
      <w:r w:rsidRPr="00B03735">
        <w:rPr>
          <w:rFonts w:ascii="Times New Roman" w:hAnsi="Times New Roman" w:cs="Times New Roman"/>
        </w:rPr>
        <w:t xml:space="preserve">O Estado entende os </w:t>
      </w:r>
      <w:proofErr w:type="spellStart"/>
      <w:r w:rsidRPr="00B03735">
        <w:rPr>
          <w:rFonts w:ascii="Times New Roman" w:hAnsi="Times New Roman" w:cs="Times New Roman"/>
        </w:rPr>
        <w:t>IFs</w:t>
      </w:r>
      <w:proofErr w:type="spellEnd"/>
      <w:r w:rsidRPr="00B03735">
        <w:rPr>
          <w:rFonts w:ascii="Times New Roman" w:hAnsi="Times New Roman" w:cs="Times New Roman"/>
        </w:rPr>
        <w:t xml:space="preserve"> na perspectiva de contribuição para o processo de modernização e desenvolvimento do país, qualificando (neste caso, com a educação profissional e tecnológica) os cidadãos e, consequentemente, incluindo-os no mercado de trabalho, levando em conta os arranjos produtivos e os aspectos sociais, culturais locais. O Estado atende, por um lado, demandas sociais da população, por formação e elevação dos níveis de escolaridade para adquirirem as devidas condições de empregabilidade e, por outro, as demandas do capital que exigem qualificação da mão de obra objetivando o aumento da produtividade e a elevação das taxas de lucro. </w:t>
      </w:r>
    </w:p>
    <w:p w:rsidR="008808DD" w:rsidRPr="00B03735" w:rsidRDefault="008808DD" w:rsidP="002A7B26">
      <w:pPr>
        <w:spacing w:line="360" w:lineRule="auto"/>
        <w:ind w:firstLine="567"/>
        <w:jc w:val="both"/>
        <w:rPr>
          <w:rFonts w:ascii="Times New Roman" w:hAnsi="Times New Roman" w:cs="Times New Roman"/>
        </w:rPr>
      </w:pPr>
      <w:r w:rsidRPr="00B03735">
        <w:rPr>
          <w:rFonts w:ascii="Times New Roman" w:hAnsi="Times New Roman" w:cs="Times New Roman"/>
        </w:rPr>
        <w:t xml:space="preserve">As constantes mudanças - com ênfase na microeletrônica - no modelo de produção, vão provocando novas demandas para a formação dos trabalhadores. Há, segundo o documento, carência de trabalhadores qualificados no âmbito da educação profissional e tecnológica. Com base na pesquisa – “Demanda e perfil dos trabalhadores formais no Brasil em 2007”, realizada pelo Instituto de Pesquisa Econômica Aplicada (IPEA), há uma a carência de profissionais qualificados. “O perfil da escolaridade média da mão-de-obra em falta no Brasil concentra-se nos trabalhadores com escolaridade média de 9,3 anos de estudos, o que traduz em trabalhadores que estejam cursando, no mínimo, o ensino médio” (BRASIL/MEC/SETEC, 2010, p. 32). Mesmo havendo uma tímida formação de profissionais pela modalidade de educação profissional e tecnológica, observa-se na realidade produtiva, o estabelecimento como exigência mínima de qualificação, o ensino médio completo. Neste contexto, “[...] a carência de mão-de-obra, em outros momentos históricos, sempre foi o mais forte elemento balizador da educação profissional e, portanto, definidor de política de ampliação de vagas para essa modalidade de educação” (BRASIL/MEC/SETEC, 2010, p. 33). </w:t>
      </w:r>
    </w:p>
    <w:p w:rsidR="008808DD" w:rsidRPr="00B03735" w:rsidRDefault="008808DD" w:rsidP="002A7B26">
      <w:pPr>
        <w:spacing w:line="360" w:lineRule="auto"/>
        <w:ind w:firstLine="567"/>
        <w:jc w:val="both"/>
        <w:rPr>
          <w:rFonts w:ascii="Times New Roman" w:hAnsi="Times New Roman" w:cs="Times New Roman"/>
        </w:rPr>
      </w:pPr>
      <w:r w:rsidRPr="00B03735">
        <w:rPr>
          <w:rFonts w:ascii="Times New Roman" w:hAnsi="Times New Roman" w:cs="Times New Roman"/>
        </w:rPr>
        <w:t xml:space="preserve">Portanto, defende-se a ideia, nos documentos oficiais, de que a construção de um país que busca sua soberania, que visa ultrapassar a condição de consumidor para a de produtor de ciência e tecnologia, passa pela ampliação das políticas públicas inclusivas, neste caso, a educação profissional e tecnológica. Nesse contexto, a atividade de pesquisa nos Institutos deve estar ancorada em dois princípios: o princípio científico (que se consolida na construção da ciência) e o princípio educativo (que diz respeito à atitude de questionamento diante da realidade). O documento aponta também que a formação do trabalhador, na e pela educação </w:t>
      </w:r>
      <w:r w:rsidRPr="00B03735">
        <w:rPr>
          <w:rFonts w:ascii="Times New Roman" w:hAnsi="Times New Roman" w:cs="Times New Roman"/>
        </w:rPr>
        <w:lastRenderedPageBreak/>
        <w:t>profissional e tecnológica, deve tornar o trabalhador um agente político, capaz de compreender a realidade e atuar na perspectiva de possibilitar transformações econômicas, políticas, sociais e culturais visando à superação das contradições existentes e a construção de outro mundo possível. (BRASIL/MEC/SETEC, 2010).</w:t>
      </w:r>
    </w:p>
    <w:p w:rsidR="008808DD" w:rsidRPr="00B03735" w:rsidRDefault="008808DD" w:rsidP="008808DD">
      <w:pPr>
        <w:spacing w:line="360" w:lineRule="auto"/>
        <w:ind w:firstLine="709"/>
        <w:jc w:val="both"/>
        <w:rPr>
          <w:rFonts w:ascii="Times New Roman" w:hAnsi="Times New Roman" w:cs="Times New Roman"/>
        </w:rPr>
      </w:pPr>
      <w:r w:rsidRPr="00B03735">
        <w:rPr>
          <w:rFonts w:ascii="Times New Roman" w:hAnsi="Times New Roman" w:cs="Times New Roman"/>
        </w:rPr>
        <w:t xml:space="preserve">Nota-se que há um esforço do Estado em ampliar a oferta de matrículas e interiorizar a educação pública federal, com a criação dos </w:t>
      </w:r>
      <w:proofErr w:type="spellStart"/>
      <w:r w:rsidRPr="00B03735">
        <w:rPr>
          <w:rFonts w:ascii="Times New Roman" w:hAnsi="Times New Roman" w:cs="Times New Roman"/>
        </w:rPr>
        <w:t>IFs</w:t>
      </w:r>
      <w:proofErr w:type="spellEnd"/>
      <w:r w:rsidRPr="00B03735">
        <w:rPr>
          <w:rFonts w:ascii="Times New Roman" w:hAnsi="Times New Roman" w:cs="Times New Roman"/>
        </w:rPr>
        <w:t xml:space="preserve"> e ampliação de </w:t>
      </w:r>
      <w:r w:rsidRPr="00B03735">
        <w:rPr>
          <w:rFonts w:ascii="Times New Roman" w:hAnsi="Times New Roman" w:cs="Times New Roman"/>
          <w:i/>
        </w:rPr>
        <w:t>campi</w:t>
      </w:r>
      <w:r w:rsidRPr="00B03735">
        <w:rPr>
          <w:rFonts w:ascii="Times New Roman" w:hAnsi="Times New Roman" w:cs="Times New Roman"/>
        </w:rPr>
        <w:t xml:space="preserve">, em Estados até então excluídos de efetivas políticas públicas em educação profissional e tecnológica. </w:t>
      </w:r>
    </w:p>
    <w:p w:rsidR="008808DD" w:rsidRPr="00B03735" w:rsidRDefault="008808DD" w:rsidP="008808DD">
      <w:pPr>
        <w:autoSpaceDE w:val="0"/>
        <w:autoSpaceDN w:val="0"/>
        <w:adjustRightInd w:val="0"/>
        <w:spacing w:line="360" w:lineRule="auto"/>
        <w:ind w:firstLine="709"/>
        <w:jc w:val="both"/>
        <w:rPr>
          <w:rFonts w:ascii="Times New Roman" w:hAnsi="Times New Roman" w:cs="Times New Roman"/>
        </w:rPr>
      </w:pPr>
      <w:r w:rsidRPr="00B03735">
        <w:rPr>
          <w:rFonts w:ascii="Times New Roman" w:hAnsi="Times New Roman" w:cs="Times New Roman"/>
        </w:rPr>
        <w:t>O ideário nacionalista/modernizador, aliado à expansão do capital competitivo difundido nas décadas de 1930 e 1940, e a intensificação dos processos de industrialização-</w:t>
      </w:r>
      <w:r w:rsidRPr="00B03735">
        <w:rPr>
          <w:rFonts w:ascii="Times New Roman" w:hAnsi="Times New Roman" w:cs="Times New Roman"/>
          <w:iCs/>
        </w:rPr>
        <w:t>modernização</w:t>
      </w:r>
      <w:r w:rsidRPr="00B03735">
        <w:rPr>
          <w:rFonts w:ascii="Times New Roman" w:hAnsi="Times New Roman" w:cs="Times New Roman"/>
        </w:rPr>
        <w:t xml:space="preserve"> e de monopolização, “[...] ao lado da emergência do populismo como instrumento de dominação das massas incorporadas à política, [...] que escapavam do controle das classes dominantes” (CUNHA, 2003, p. 171), e que definiram as políticas nas décadas de 1950 e 1960, voltam ao centro das discussões. A relação educação e desenvolvimento ganhou força nos discursos governamentais no contexto de implantação dos Institutos Federais, que são vistos como espaços estratégicos de qualificação da mão de obra visando ao desenvolvimento socioeconômico de diversas regiões do país. Sincronizar a educação com as necessidades do desenvolvimento econômico e social é o axioma da bandeira de modernização do país levantada pelo Estado.</w:t>
      </w:r>
    </w:p>
    <w:p w:rsidR="008808DD" w:rsidRPr="00B03735" w:rsidRDefault="008808DD" w:rsidP="008808DD">
      <w:pPr>
        <w:autoSpaceDE w:val="0"/>
        <w:autoSpaceDN w:val="0"/>
        <w:adjustRightInd w:val="0"/>
        <w:spacing w:line="360" w:lineRule="auto"/>
        <w:ind w:firstLine="709"/>
        <w:jc w:val="both"/>
        <w:rPr>
          <w:rFonts w:ascii="Times New Roman" w:hAnsi="Times New Roman" w:cs="Times New Roman"/>
          <w:color w:val="000000"/>
        </w:rPr>
      </w:pPr>
      <w:r w:rsidRPr="00B03735">
        <w:rPr>
          <w:rFonts w:ascii="Times New Roman" w:hAnsi="Times New Roman" w:cs="Times New Roman"/>
          <w:color w:val="000000"/>
        </w:rPr>
        <w:t>O</w:t>
      </w:r>
      <w:r w:rsidR="002A7B26">
        <w:rPr>
          <w:rFonts w:ascii="Times New Roman" w:hAnsi="Times New Roman" w:cs="Times New Roman"/>
          <w:color w:val="000000"/>
        </w:rPr>
        <w:t xml:space="preserve"> </w:t>
      </w:r>
      <w:r w:rsidRPr="00B03735">
        <w:rPr>
          <w:rFonts w:ascii="Times New Roman" w:hAnsi="Times New Roman" w:cs="Times New Roman"/>
          <w:color w:val="000000"/>
        </w:rPr>
        <w:t>Diretor de Políticas da SETEC, Luiz Augusto Caldas Pereira (2013) afirma, naquela situação,</w:t>
      </w:r>
      <w:r w:rsidRPr="00B03735">
        <w:rPr>
          <w:rFonts w:ascii="Times New Roman" w:hAnsi="Times New Roman" w:cs="Times New Roman"/>
        </w:rPr>
        <w:t xml:space="preserve"> que a </w:t>
      </w:r>
      <w:r w:rsidRPr="00B03735">
        <w:rPr>
          <w:rFonts w:ascii="Times New Roman" w:hAnsi="Times New Roman" w:cs="Times New Roman"/>
          <w:color w:val="000000"/>
        </w:rPr>
        <w:t xml:space="preserve">retomada do crescimento econômico do país, vinculada a um modelo de produção que vincula intensa aplicação de ciência e tecnologia, gera a exigência de trabalho qualificado e eleva a importância da formação escolar e profissional em todos os níveis. Neste espaço cabe destaque à Educação Profissional e Tecnológica tornando necessária a expansão de sua oferta. Na ocasião, o </w:t>
      </w:r>
      <w:r w:rsidRPr="00B03735">
        <w:rPr>
          <w:rFonts w:ascii="Times New Roman" w:hAnsi="Times New Roman" w:cs="Times New Roman"/>
        </w:rPr>
        <w:t xml:space="preserve">Diretor de Articulação e Projetos Especiais da SETEC, </w:t>
      </w:r>
      <w:r w:rsidRPr="00B03735">
        <w:rPr>
          <w:rFonts w:ascii="Times New Roman" w:hAnsi="Times New Roman" w:cs="Times New Roman"/>
          <w:bCs/>
        </w:rPr>
        <w:t xml:space="preserve">Irineu Colombo (2013), destacou alguns fatores que embasaram a criação dos Institutos: </w:t>
      </w:r>
      <w:r w:rsidRPr="00B03735">
        <w:rPr>
          <w:rFonts w:ascii="Times New Roman" w:hAnsi="Times New Roman" w:cs="Times New Roman"/>
        </w:rPr>
        <w:t>a baixa qualidade científica da nossa formação educacional brasileira e a necessidade de fornecer base tecnológica para a economia e para o próprio sistema de educação, juntamente à necessidade de formar técnicos para o crescimento econômico que estamos vivenciando. Segundo o então Secretário de Educação Profissional e Tecnológica, Eliezer Pacheco (2013), a falta de trabalhadores qualificados ganhou destaque nas manchetes de jornais, foi tema de campanha eleitoral e se tornou numa espécie de fetiche de empresários e especialistas. “</w:t>
      </w:r>
      <w:r w:rsidRPr="00B03735">
        <w:rPr>
          <w:rFonts w:ascii="Times New Roman" w:hAnsi="Times New Roman" w:cs="Times New Roman"/>
          <w:color w:val="000000"/>
        </w:rPr>
        <w:t xml:space="preserve">Como dizia o ex-presidente Luiz Inácio Lula da Silva, os prefeitos hoje em dia vêm a Brasília pedir escola técnica para os seus municípios e não mais uma universidade” </w:t>
      </w:r>
      <w:r w:rsidRPr="00B03735">
        <w:rPr>
          <w:rFonts w:ascii="Times New Roman" w:hAnsi="Times New Roman" w:cs="Times New Roman"/>
          <w:color w:val="000000"/>
        </w:rPr>
        <w:lastRenderedPageBreak/>
        <w:t>(p. 01). No texto “Escolas técnicas e desenvolvimento”, Pacheco (2011 e 2013) afirma que a política neoliberal adotada pelo Governo de FHC provocou um sucateamento e privatização do patrimônio, prejudicando a economia brasileira. Neste contexto, universidades públicas e instituições federais de educação profissional e tecnológica foram desmanteladas tendo seu funcionamento quase que inviabilizado.</w:t>
      </w:r>
    </w:p>
    <w:p w:rsidR="008808DD" w:rsidRPr="00B03735" w:rsidRDefault="008808DD" w:rsidP="008808DD">
      <w:pPr>
        <w:autoSpaceDE w:val="0"/>
        <w:autoSpaceDN w:val="0"/>
        <w:adjustRightInd w:val="0"/>
        <w:spacing w:line="360" w:lineRule="auto"/>
        <w:ind w:firstLine="709"/>
        <w:jc w:val="both"/>
        <w:rPr>
          <w:rFonts w:ascii="Times New Roman" w:hAnsi="Times New Roman" w:cs="Times New Roman"/>
          <w:color w:val="000000"/>
        </w:rPr>
      </w:pPr>
    </w:p>
    <w:p w:rsidR="008808DD" w:rsidRPr="001B2EF8" w:rsidRDefault="008808DD" w:rsidP="008808DD">
      <w:pPr>
        <w:autoSpaceDE w:val="0"/>
        <w:autoSpaceDN w:val="0"/>
        <w:adjustRightInd w:val="0"/>
        <w:ind w:left="2268"/>
        <w:jc w:val="both"/>
        <w:rPr>
          <w:rFonts w:ascii="Times New Roman" w:hAnsi="Times New Roman" w:cs="Times New Roman"/>
          <w:sz w:val="22"/>
          <w:szCs w:val="22"/>
        </w:rPr>
      </w:pPr>
      <w:r w:rsidRPr="001B2EF8">
        <w:rPr>
          <w:rFonts w:ascii="Times New Roman" w:hAnsi="Times New Roman" w:cs="Times New Roman"/>
          <w:sz w:val="22"/>
          <w:szCs w:val="22"/>
        </w:rPr>
        <w:t>No governo anterior, inclusive, foi instituída a lei 9.649/98, barrando a criação de escolas técnicas federais. Não é por acaso que agora, quando o País consolida taxas de crescimento acima de 4%, empresas encontram dificuldades para contratar mão-de-obra treinada e qualificada. A falta de técnicos é explicada pelo abandono e descaso que os governos passados tiveram com a educação profissional. No entanto, a concepção do governo Lula preconiza a valorização e o investimento pesado nas escolas técnicas (PACHECO, 2013, p. 01).</w:t>
      </w:r>
    </w:p>
    <w:p w:rsidR="008808DD" w:rsidRPr="00B03735" w:rsidRDefault="008808DD" w:rsidP="008808DD">
      <w:pPr>
        <w:spacing w:line="360" w:lineRule="auto"/>
        <w:ind w:firstLine="709"/>
        <w:jc w:val="both"/>
        <w:rPr>
          <w:rFonts w:ascii="Times New Roman" w:hAnsi="Times New Roman" w:cs="Times New Roman"/>
        </w:rPr>
      </w:pPr>
    </w:p>
    <w:p w:rsidR="008808DD" w:rsidRPr="00B03735" w:rsidRDefault="008808DD" w:rsidP="001B2EF8">
      <w:pPr>
        <w:autoSpaceDE w:val="0"/>
        <w:autoSpaceDN w:val="0"/>
        <w:adjustRightInd w:val="0"/>
        <w:spacing w:line="360" w:lineRule="auto"/>
        <w:ind w:firstLine="567"/>
        <w:jc w:val="both"/>
        <w:rPr>
          <w:rFonts w:ascii="Times New Roman" w:hAnsi="Times New Roman" w:cs="Times New Roman"/>
        </w:rPr>
      </w:pPr>
      <w:r w:rsidRPr="00B03735">
        <w:rPr>
          <w:rFonts w:ascii="Times New Roman" w:hAnsi="Times New Roman" w:cs="Times New Roman"/>
          <w:color w:val="000000"/>
        </w:rPr>
        <w:t xml:space="preserve">Outra manifestação a respeito da mesma matéria está presente na apresentação do texto de Silva (2009), destacando o foco dos Institutos, que é o de promover a justiça social, </w:t>
      </w:r>
      <w:r w:rsidRPr="00B03735">
        <w:rPr>
          <w:rFonts w:ascii="Times New Roman" w:hAnsi="Times New Roman" w:cs="Times New Roman"/>
        </w:rPr>
        <w:t>a equidade e a inclusão social com base num desenvolvimento sustentável, buscando soluções técnicas e gerando novas tecnologias: “Estas instituições devem responder, de forma ágil e eficaz, às demandas crescentes por formação profissional, por difusão de conhecimentos científicos e de suporte aos arranjos produtivos locais” (p. 08).</w:t>
      </w:r>
    </w:p>
    <w:p w:rsidR="008808DD" w:rsidRPr="00B03735" w:rsidRDefault="008808DD" w:rsidP="00AC31DE">
      <w:pPr>
        <w:autoSpaceDE w:val="0"/>
        <w:autoSpaceDN w:val="0"/>
        <w:adjustRightInd w:val="0"/>
        <w:spacing w:line="360" w:lineRule="auto"/>
        <w:ind w:firstLine="567"/>
        <w:jc w:val="both"/>
        <w:rPr>
          <w:rFonts w:ascii="Times New Roman" w:hAnsi="Times New Roman" w:cs="Times New Roman"/>
        </w:rPr>
      </w:pPr>
      <w:r w:rsidRPr="00B03735">
        <w:rPr>
          <w:rFonts w:ascii="Times New Roman" w:hAnsi="Times New Roman" w:cs="Times New Roman"/>
        </w:rPr>
        <w:t xml:space="preserve">A afirmação de buscar “solucionar os problemas socioeconômicos em âmbito regional visando ao desenvolvimento”, se destaca nos documentos oficiais e na legislação de criação dos </w:t>
      </w:r>
      <w:proofErr w:type="spellStart"/>
      <w:r w:rsidRPr="00B03735">
        <w:rPr>
          <w:rFonts w:ascii="Times New Roman" w:hAnsi="Times New Roman" w:cs="Times New Roman"/>
        </w:rPr>
        <w:t>IFs</w:t>
      </w:r>
      <w:proofErr w:type="spellEnd"/>
      <w:r w:rsidRPr="00B03735">
        <w:rPr>
          <w:rFonts w:ascii="Times New Roman" w:hAnsi="Times New Roman" w:cs="Times New Roman"/>
        </w:rPr>
        <w:t xml:space="preserve">. Ao que parece, a criação e implantação dos </w:t>
      </w:r>
      <w:proofErr w:type="spellStart"/>
      <w:r w:rsidRPr="00B03735">
        <w:rPr>
          <w:rFonts w:ascii="Times New Roman" w:hAnsi="Times New Roman" w:cs="Times New Roman"/>
        </w:rPr>
        <w:t>IFs</w:t>
      </w:r>
      <w:proofErr w:type="spellEnd"/>
      <w:r w:rsidRPr="00B03735">
        <w:rPr>
          <w:rFonts w:ascii="Times New Roman" w:hAnsi="Times New Roman" w:cs="Times New Roman"/>
        </w:rPr>
        <w:t xml:space="preserve"> está atrelada ao fortalecimento e expansão das relações sociais capitalistas em regiões distantes geograficamente dos grandes centros urbanos. A </w:t>
      </w:r>
      <w:r w:rsidRPr="00B03735">
        <w:rPr>
          <w:rFonts w:ascii="Times New Roman" w:hAnsi="Times New Roman" w:cs="Times New Roman"/>
          <w:color w:val="231F20"/>
        </w:rPr>
        <w:t xml:space="preserve">expansão da EPT ocorre para expandir </w:t>
      </w:r>
      <w:r w:rsidRPr="00B03735">
        <w:rPr>
          <w:rFonts w:ascii="Times New Roman" w:hAnsi="Times New Roman" w:cs="Times New Roman"/>
        </w:rPr>
        <w:t>o capital para outras regiões e para a conquista de novas camadas intermediárias da classe trabalhadora. Segundo Brandão (2010, p. 80)</w:t>
      </w:r>
    </w:p>
    <w:p w:rsidR="008808DD" w:rsidRPr="00B03735" w:rsidRDefault="008808DD" w:rsidP="008808DD">
      <w:pPr>
        <w:autoSpaceDE w:val="0"/>
        <w:autoSpaceDN w:val="0"/>
        <w:adjustRightInd w:val="0"/>
        <w:spacing w:line="360" w:lineRule="auto"/>
        <w:ind w:firstLine="709"/>
        <w:jc w:val="both"/>
        <w:rPr>
          <w:rFonts w:ascii="Times New Roman" w:hAnsi="Times New Roman" w:cs="Times New Roman"/>
        </w:rPr>
      </w:pPr>
    </w:p>
    <w:p w:rsidR="008808DD" w:rsidRPr="00AC31DE" w:rsidRDefault="008808DD" w:rsidP="008808DD">
      <w:pPr>
        <w:autoSpaceDE w:val="0"/>
        <w:autoSpaceDN w:val="0"/>
        <w:adjustRightInd w:val="0"/>
        <w:ind w:left="2268"/>
        <w:jc w:val="both"/>
        <w:rPr>
          <w:rFonts w:ascii="Times New Roman" w:hAnsi="Times New Roman" w:cs="Times New Roman"/>
          <w:sz w:val="22"/>
          <w:szCs w:val="22"/>
        </w:rPr>
      </w:pPr>
      <w:r w:rsidRPr="00AC31DE">
        <w:rPr>
          <w:rFonts w:ascii="Times New Roman" w:hAnsi="Times New Roman" w:cs="Times New Roman"/>
          <w:sz w:val="22"/>
          <w:szCs w:val="22"/>
        </w:rPr>
        <w:t>[...] seja através da (</w:t>
      </w:r>
      <w:proofErr w:type="gramStart"/>
      <w:r w:rsidRPr="00AC31DE">
        <w:rPr>
          <w:rFonts w:ascii="Times New Roman" w:hAnsi="Times New Roman" w:cs="Times New Roman"/>
          <w:sz w:val="22"/>
          <w:szCs w:val="22"/>
        </w:rPr>
        <w:t>con)formação</w:t>
      </w:r>
      <w:proofErr w:type="gramEnd"/>
      <w:r w:rsidRPr="00AC31DE">
        <w:rPr>
          <w:rFonts w:ascii="Times New Roman" w:hAnsi="Times New Roman" w:cs="Times New Roman"/>
          <w:sz w:val="22"/>
          <w:szCs w:val="22"/>
        </w:rPr>
        <w:t xml:space="preserve"> de mão-de-obra para as empresas que se instalam nessas regiões; seja através do oferecimento de pequenos serviços que nada mais são do que trabalho precário; seja através da inclusão de trabalhadores como consumidores; seja através da difusão  - também regional – da graduação da educação profissional no setor privado.</w:t>
      </w:r>
    </w:p>
    <w:p w:rsidR="008808DD" w:rsidRPr="00B03735" w:rsidRDefault="008808DD" w:rsidP="008808DD">
      <w:pPr>
        <w:spacing w:line="360" w:lineRule="auto"/>
        <w:ind w:firstLine="709"/>
        <w:jc w:val="both"/>
        <w:rPr>
          <w:rFonts w:ascii="Times New Roman" w:hAnsi="Times New Roman" w:cs="Times New Roman"/>
        </w:rPr>
      </w:pPr>
    </w:p>
    <w:p w:rsidR="008808DD" w:rsidRPr="00B03735" w:rsidRDefault="008808DD" w:rsidP="008808DD">
      <w:pPr>
        <w:spacing w:line="360" w:lineRule="auto"/>
        <w:ind w:firstLine="709"/>
        <w:jc w:val="both"/>
        <w:rPr>
          <w:rFonts w:ascii="Times New Roman" w:hAnsi="Times New Roman" w:cs="Times New Roman"/>
        </w:rPr>
      </w:pPr>
      <w:r w:rsidRPr="00B03735">
        <w:rPr>
          <w:rFonts w:ascii="Times New Roman" w:hAnsi="Times New Roman" w:cs="Times New Roman"/>
        </w:rPr>
        <w:t xml:space="preserve">As críticas elencadas nos documentos em relação ao governo de FHC podem ser entendidas no contexto do Estado neoliberal, adotado pelo governo anterior, que alavancou o processo de desindustrialização, privatização de empresas estatais, à mudança do padrão </w:t>
      </w:r>
      <w:r w:rsidRPr="00B03735">
        <w:rPr>
          <w:rFonts w:ascii="Times New Roman" w:hAnsi="Times New Roman" w:cs="Times New Roman"/>
        </w:rPr>
        <w:lastRenderedPageBreak/>
        <w:t>de inserção do país na economia globalizada (</w:t>
      </w:r>
      <w:r w:rsidRPr="00B03735">
        <w:rPr>
          <w:rFonts w:ascii="Times New Roman" w:hAnsi="Times New Roman" w:cs="Times New Roman"/>
          <w:lang w:val="pt-PT"/>
        </w:rPr>
        <w:t>DAGNINO; RIBEIRO; CYPRIANO, 2011). Entretanto, é importante salientar que a política econômica adotada pelo governo Lula não se diferencia, na sua essência, da implantada por FHC.</w:t>
      </w:r>
    </w:p>
    <w:p w:rsidR="008808DD" w:rsidRPr="00B03735" w:rsidRDefault="008808DD" w:rsidP="00AC31DE">
      <w:pPr>
        <w:spacing w:line="360" w:lineRule="auto"/>
        <w:ind w:firstLine="567"/>
        <w:jc w:val="both"/>
        <w:rPr>
          <w:rFonts w:ascii="Times New Roman" w:hAnsi="Times New Roman" w:cs="Times New Roman"/>
        </w:rPr>
      </w:pPr>
      <w:r w:rsidRPr="00B03735">
        <w:rPr>
          <w:rFonts w:ascii="Times New Roman" w:hAnsi="Times New Roman" w:cs="Times New Roman"/>
        </w:rPr>
        <w:t>Segundo os autores, a rede EPT, que surgiu entrelaçada ao projeto nacional-desenvolvimentista, com o objetivo de atender às demandas tecnológicas de formação de mão de obra qualificada para o processo de industrialização pela via de substituição das importações (governo Getúlio Vargas – 1930-1945), se expandiu e se consolidou historicamente. É nesse contexto, fruto de um pacto social que se estabeleceu entre os empresários nacionais e os trabalhadores da indústria, “[...] de que a qualificação da força de trabalho, por atender à demanda tecnológica dos primeiros e a expectativa de ascensão social dos segundos” (</w:t>
      </w:r>
      <w:r w:rsidRPr="00B03735">
        <w:rPr>
          <w:rFonts w:ascii="Times New Roman" w:hAnsi="Times New Roman" w:cs="Times New Roman"/>
          <w:lang w:val="pt-PT"/>
        </w:rPr>
        <w:t>DAGNINO; RIBEIRO; CYPRIANO, 2011, p. 221)</w:t>
      </w:r>
      <w:r w:rsidRPr="00B03735">
        <w:rPr>
          <w:rFonts w:ascii="Times New Roman" w:hAnsi="Times New Roman" w:cs="Times New Roman"/>
        </w:rPr>
        <w:t xml:space="preserve"> que se entende a criação e implantação da rede </w:t>
      </w:r>
      <w:proofErr w:type="spellStart"/>
      <w:r w:rsidRPr="00B03735">
        <w:rPr>
          <w:rFonts w:ascii="Times New Roman" w:hAnsi="Times New Roman" w:cs="Times New Roman"/>
        </w:rPr>
        <w:t>Rede</w:t>
      </w:r>
      <w:proofErr w:type="spellEnd"/>
      <w:r w:rsidRPr="00B03735">
        <w:rPr>
          <w:rFonts w:ascii="Times New Roman" w:hAnsi="Times New Roman" w:cs="Times New Roman"/>
        </w:rPr>
        <w:t xml:space="preserve"> Federal de EPCT e, por extensão, dos </w:t>
      </w:r>
      <w:proofErr w:type="spellStart"/>
      <w:r w:rsidRPr="00B03735">
        <w:rPr>
          <w:rFonts w:ascii="Times New Roman" w:hAnsi="Times New Roman" w:cs="Times New Roman"/>
        </w:rPr>
        <w:t>IFs</w:t>
      </w:r>
      <w:proofErr w:type="spellEnd"/>
      <w:r w:rsidRPr="00B03735">
        <w:rPr>
          <w:rFonts w:ascii="Times New Roman" w:hAnsi="Times New Roman" w:cs="Times New Roman"/>
        </w:rPr>
        <w:t>.</w:t>
      </w:r>
    </w:p>
    <w:p w:rsidR="008808DD" w:rsidRPr="00B03735" w:rsidRDefault="008808DD" w:rsidP="00AC31DE">
      <w:pPr>
        <w:spacing w:line="360" w:lineRule="auto"/>
        <w:ind w:firstLine="567"/>
        <w:jc w:val="both"/>
        <w:rPr>
          <w:rFonts w:ascii="Times New Roman" w:hAnsi="Times New Roman" w:cs="Times New Roman"/>
        </w:rPr>
      </w:pPr>
      <w:r w:rsidRPr="00B03735">
        <w:rPr>
          <w:rFonts w:ascii="Times New Roman" w:hAnsi="Times New Roman" w:cs="Times New Roman"/>
        </w:rPr>
        <w:t>Domingos Sobrinho (2013), referindo-se ao Decreto n</w:t>
      </w:r>
      <w:r w:rsidRPr="00B03735">
        <w:rPr>
          <w:rFonts w:ascii="Times New Roman" w:hAnsi="Times New Roman" w:cs="Times New Roman"/>
          <w:vertAlign w:val="superscript"/>
        </w:rPr>
        <w:t>o</w:t>
      </w:r>
      <w:r w:rsidRPr="00B03735">
        <w:rPr>
          <w:rFonts w:ascii="Times New Roman" w:hAnsi="Times New Roman" w:cs="Times New Roman"/>
        </w:rPr>
        <w:t>.</w:t>
      </w:r>
      <w:r w:rsidRPr="00B03735">
        <w:rPr>
          <w:rFonts w:ascii="Times New Roman" w:hAnsi="Times New Roman" w:cs="Times New Roman"/>
          <w:vertAlign w:val="superscript"/>
        </w:rPr>
        <w:t xml:space="preserve"> </w:t>
      </w:r>
      <w:r w:rsidRPr="00B03735">
        <w:rPr>
          <w:rFonts w:ascii="Times New Roman" w:hAnsi="Times New Roman" w:cs="Times New Roman"/>
        </w:rPr>
        <w:t xml:space="preserve">6.095, de 24/04/07, afirma que este foi editado sem prévio debate com a rede federal. Os Institutos foram uma novidade para a Rede de EPT, pois, anterior ao Decreto, a discussão que vinha sendo feita era a de transformar alguns </w:t>
      </w:r>
      <w:proofErr w:type="spellStart"/>
      <w:r w:rsidRPr="00B03735">
        <w:rPr>
          <w:rFonts w:ascii="Times New Roman" w:hAnsi="Times New Roman" w:cs="Times New Roman"/>
        </w:rPr>
        <w:t>CEFETs</w:t>
      </w:r>
      <w:proofErr w:type="spellEnd"/>
      <w:r w:rsidRPr="00B03735">
        <w:rPr>
          <w:rFonts w:ascii="Times New Roman" w:hAnsi="Times New Roman" w:cs="Times New Roman"/>
        </w:rPr>
        <w:t xml:space="preserve"> em Universidade Tecnológica Federal (UTF), como aconteceu no Estado do Paraná. Todavia, percebe-se, segundo o autor, o esforço do Governo Lula, no âmbito da educação profissional e tecnológica, em ampliar a Rede, rompendo com o projeto do Governo FHC – que a encarava como mero fator econômico, subjugada, assim, às necessidades do mercado e do mundo dos negócios – e, encarando esta modalidade de educação como fator estratégico para o desenvolvimento nacional e para o processo de inserção cidadã para milhões de brasileiros. Projeto este que se volta para as atuais configurações do mundo do trabalho, para a reinserção dos desempregados e desenvolvimento de programas integrados de escolarização/profissionalização, no intuito de atender o contingente de jovens e adultos sem alfabetização ou apenas com escolaridade parcial.</w:t>
      </w:r>
    </w:p>
    <w:p w:rsidR="008808DD" w:rsidRPr="00B03735" w:rsidRDefault="008808DD" w:rsidP="00AC31DE">
      <w:pPr>
        <w:autoSpaceDE w:val="0"/>
        <w:autoSpaceDN w:val="0"/>
        <w:adjustRightInd w:val="0"/>
        <w:spacing w:line="360" w:lineRule="auto"/>
        <w:ind w:firstLine="567"/>
        <w:jc w:val="both"/>
        <w:rPr>
          <w:rFonts w:ascii="Times New Roman" w:hAnsi="Times New Roman" w:cs="Times New Roman"/>
        </w:rPr>
      </w:pPr>
      <w:r w:rsidRPr="00B03735">
        <w:rPr>
          <w:rFonts w:ascii="Times New Roman" w:hAnsi="Times New Roman" w:cs="Times New Roman"/>
        </w:rPr>
        <w:t xml:space="preserve">No contexto das discussões em torno da transformação dos </w:t>
      </w:r>
      <w:proofErr w:type="spellStart"/>
      <w:r w:rsidRPr="00B03735">
        <w:rPr>
          <w:rFonts w:ascii="Times New Roman" w:hAnsi="Times New Roman" w:cs="Times New Roman"/>
        </w:rPr>
        <w:t>CEFETs</w:t>
      </w:r>
      <w:proofErr w:type="spellEnd"/>
      <w:r w:rsidRPr="00B03735">
        <w:rPr>
          <w:rFonts w:ascii="Times New Roman" w:hAnsi="Times New Roman" w:cs="Times New Roman"/>
        </w:rPr>
        <w:t xml:space="preserve"> em UTF, Ciavatta (2006, p. 929) alerta, se referindo aos Institutos, para o fato de que “Destinados, originariamente, para as ‘classes desfavorecidas’, que continuam a procurá-los pelo vínculo da escola com o trabalho, a questão das classes sociais e a exclusão de tantos dos benefícios sociais são aspectos da realidade que não podem ser alheios à sua prática pedagógica”.</w:t>
      </w:r>
    </w:p>
    <w:p w:rsidR="008808DD" w:rsidRPr="00B03735" w:rsidRDefault="008808DD" w:rsidP="00AC31DE">
      <w:pPr>
        <w:autoSpaceDE w:val="0"/>
        <w:autoSpaceDN w:val="0"/>
        <w:adjustRightInd w:val="0"/>
        <w:spacing w:line="360" w:lineRule="auto"/>
        <w:ind w:firstLine="567"/>
        <w:jc w:val="both"/>
        <w:rPr>
          <w:rFonts w:ascii="Times New Roman" w:hAnsi="Times New Roman" w:cs="Times New Roman"/>
        </w:rPr>
      </w:pPr>
      <w:r w:rsidRPr="00B03735">
        <w:rPr>
          <w:rFonts w:ascii="Times New Roman" w:hAnsi="Times New Roman" w:cs="Times New Roman"/>
        </w:rPr>
        <w:t xml:space="preserve">A soberania dos países não advém apenas do poderio bélico para defender seu território, mas também da autonomia para produzir conhecimento e atender às demandas da </w:t>
      </w:r>
      <w:r w:rsidRPr="00B03735">
        <w:rPr>
          <w:rFonts w:ascii="Times New Roman" w:hAnsi="Times New Roman" w:cs="Times New Roman"/>
        </w:rPr>
        <w:lastRenderedPageBreak/>
        <w:t>população. Portanto, a educação é uma questão estratégica, tanto no nível básico para a educação de crianças e adolescentes, como no nível superior para o aperfeiçoamento profissional, científico e tecnológico de jovens e adultos, e para a produção do conhecimento que assegura a presença de um país entre as demais nações (CIAVATTA, 2003).</w:t>
      </w:r>
    </w:p>
    <w:p w:rsidR="008808DD" w:rsidRPr="00B03735" w:rsidRDefault="008808DD" w:rsidP="00AC31DE">
      <w:pPr>
        <w:spacing w:line="360" w:lineRule="auto"/>
        <w:ind w:firstLine="567"/>
        <w:jc w:val="both"/>
        <w:rPr>
          <w:rFonts w:ascii="Times New Roman" w:hAnsi="Times New Roman" w:cs="Times New Roman"/>
        </w:rPr>
      </w:pPr>
      <w:r w:rsidRPr="00B03735">
        <w:rPr>
          <w:rFonts w:ascii="Times New Roman" w:hAnsi="Times New Roman" w:cs="Times New Roman"/>
        </w:rPr>
        <w:t xml:space="preserve">Assim, </w:t>
      </w:r>
      <w:proofErr w:type="gramStart"/>
      <w:r w:rsidRPr="00B03735">
        <w:rPr>
          <w:rFonts w:ascii="Times New Roman" w:hAnsi="Times New Roman" w:cs="Times New Roman"/>
        </w:rPr>
        <w:t>Pacheco, Pereira e Domingos Sobrinho</w:t>
      </w:r>
      <w:proofErr w:type="gramEnd"/>
      <w:r w:rsidRPr="00B03735">
        <w:rPr>
          <w:rFonts w:ascii="Times New Roman" w:hAnsi="Times New Roman" w:cs="Times New Roman"/>
        </w:rPr>
        <w:t xml:space="preserve"> (2010) consideram que a discussão sobre a relação ensino-ciência-tecnologia deve ser destacada no contexto do surgimento dos Institutos, pois se relaciona com as demandas do desenvolvimento nacional, no que concerne à formação dos trabalhadores, formação de sua cidadania e aos desafios do desenvolvimento da ciência brasileira.</w:t>
      </w:r>
    </w:p>
    <w:p w:rsidR="008808DD" w:rsidRPr="00B03735" w:rsidRDefault="008808DD" w:rsidP="00AC31DE">
      <w:pPr>
        <w:autoSpaceDE w:val="0"/>
        <w:autoSpaceDN w:val="0"/>
        <w:adjustRightInd w:val="0"/>
        <w:spacing w:line="360" w:lineRule="auto"/>
        <w:ind w:firstLine="567"/>
        <w:jc w:val="both"/>
        <w:rPr>
          <w:rFonts w:ascii="Times New Roman" w:hAnsi="Times New Roman" w:cs="Times New Roman"/>
        </w:rPr>
      </w:pPr>
      <w:r w:rsidRPr="00B03735">
        <w:rPr>
          <w:rFonts w:ascii="Times New Roman" w:hAnsi="Times New Roman" w:cs="Times New Roman"/>
        </w:rPr>
        <w:t>As mudanças ocorridas no modo de produção capitalista, trazendo em seu bojo o avanço científico-tecnológico nos processos produtivos, implicaram na reorganização da educação profissional. Porém, este talvez seja um grande desafio. O ideário brasileiro de ser autossuficiente na produção de ciência e tecnologia, na condição de país de capitalismo dependente, enfrenta barreiras dos países do centro orgânico do capital, produtores e concentradores de maior parte de ciência e tecnologia produzidas pela humanidade, para delinear suas políticas de desenvolvimento científico-tecnológico e de uma educação ampliada para a ciência e as tecnologias.</w:t>
      </w:r>
    </w:p>
    <w:p w:rsidR="008808DD" w:rsidRPr="00B03735" w:rsidRDefault="008808DD" w:rsidP="00AC31DE">
      <w:pPr>
        <w:spacing w:line="360" w:lineRule="auto"/>
        <w:ind w:firstLine="567"/>
        <w:jc w:val="both"/>
        <w:rPr>
          <w:rFonts w:ascii="Times New Roman" w:hAnsi="Times New Roman" w:cs="Times New Roman"/>
        </w:rPr>
      </w:pPr>
      <w:r w:rsidRPr="00B03735">
        <w:rPr>
          <w:rFonts w:ascii="Times New Roman" w:hAnsi="Times New Roman" w:cs="Times New Roman"/>
        </w:rPr>
        <w:t xml:space="preserve">Contudo, por que o Governo Lula estabelece uma reestruturação na educação profissional e tecnológica criando os </w:t>
      </w:r>
      <w:proofErr w:type="spellStart"/>
      <w:r w:rsidRPr="00B03735">
        <w:rPr>
          <w:rFonts w:ascii="Times New Roman" w:hAnsi="Times New Roman" w:cs="Times New Roman"/>
        </w:rPr>
        <w:t>IFs</w:t>
      </w:r>
      <w:proofErr w:type="spellEnd"/>
      <w:r w:rsidRPr="00B03735">
        <w:rPr>
          <w:rFonts w:ascii="Times New Roman" w:hAnsi="Times New Roman" w:cs="Times New Roman"/>
        </w:rPr>
        <w:t xml:space="preserve"> ao invés de UTF? Será que há maior demanda pelo nível de ensino técnico e profissionalizante e não uma significativa demanda pelo nível superior? </w:t>
      </w:r>
    </w:p>
    <w:p w:rsidR="008808DD" w:rsidRPr="00B03735" w:rsidRDefault="008808DD" w:rsidP="00AC31DE">
      <w:pPr>
        <w:autoSpaceDE w:val="0"/>
        <w:autoSpaceDN w:val="0"/>
        <w:adjustRightInd w:val="0"/>
        <w:spacing w:line="360" w:lineRule="auto"/>
        <w:ind w:firstLine="567"/>
        <w:jc w:val="both"/>
        <w:rPr>
          <w:rFonts w:ascii="Times New Roman" w:hAnsi="Times New Roman" w:cs="Times New Roman"/>
        </w:rPr>
      </w:pPr>
      <w:r w:rsidRPr="00B03735">
        <w:rPr>
          <w:rFonts w:ascii="Times New Roman" w:hAnsi="Times New Roman" w:cs="Times New Roman"/>
        </w:rPr>
        <w:t xml:space="preserve">Compreendemos a ação do Governo Lula em ignorar a Rede Federal de EPT, criando a Rede Federal de EPCT, num contexto de debates para a transformação dos </w:t>
      </w:r>
      <w:proofErr w:type="spellStart"/>
      <w:r w:rsidRPr="00B03735">
        <w:rPr>
          <w:rFonts w:ascii="Times New Roman" w:hAnsi="Times New Roman" w:cs="Times New Roman"/>
        </w:rPr>
        <w:t>CEFETs</w:t>
      </w:r>
      <w:proofErr w:type="spellEnd"/>
      <w:r w:rsidRPr="00B03735">
        <w:rPr>
          <w:rFonts w:ascii="Times New Roman" w:hAnsi="Times New Roman" w:cs="Times New Roman"/>
        </w:rPr>
        <w:t xml:space="preserve"> em UTF, na seguinte perspectiva:</w:t>
      </w:r>
    </w:p>
    <w:p w:rsidR="008808DD" w:rsidRPr="00B03735" w:rsidRDefault="008808DD" w:rsidP="008808DD">
      <w:pPr>
        <w:autoSpaceDE w:val="0"/>
        <w:autoSpaceDN w:val="0"/>
        <w:adjustRightInd w:val="0"/>
        <w:spacing w:line="360" w:lineRule="auto"/>
        <w:ind w:firstLine="709"/>
        <w:jc w:val="both"/>
        <w:rPr>
          <w:rFonts w:ascii="Times New Roman" w:hAnsi="Times New Roman" w:cs="Times New Roman"/>
        </w:rPr>
      </w:pPr>
    </w:p>
    <w:p w:rsidR="008808DD" w:rsidRPr="00AC31DE" w:rsidRDefault="008808DD" w:rsidP="008808DD">
      <w:pPr>
        <w:autoSpaceDE w:val="0"/>
        <w:autoSpaceDN w:val="0"/>
        <w:adjustRightInd w:val="0"/>
        <w:ind w:left="2268"/>
        <w:jc w:val="both"/>
        <w:rPr>
          <w:rFonts w:ascii="Times New Roman" w:hAnsi="Times New Roman" w:cs="Times New Roman"/>
          <w:sz w:val="22"/>
          <w:szCs w:val="22"/>
        </w:rPr>
      </w:pPr>
      <w:r w:rsidRPr="00AC31DE">
        <w:rPr>
          <w:rFonts w:ascii="Times New Roman" w:hAnsi="Times New Roman" w:cs="Times New Roman"/>
          <w:sz w:val="22"/>
          <w:szCs w:val="22"/>
        </w:rPr>
        <w:t xml:space="preserve">Verifica-se na manifestação de conselheiros do CNE pela via normativa que é desencadeada a partir do MEC a persistência da venda do encantamento de uma condição de empregabilidade para os jovens da sociedade brasileira a partir da educação profissional de forma a aliviar o tradicional ensino superior público das constantes reivindicações de segmentos da base da sociedade e possibilitar a formação de uma força de trabalho de reserva o mais numerosa possível, contribuindo, desta forma, para o desenvolvimento econômico e social do Estado brasileiro capitalista, e aliviando pressões sociais, como a de por cursos de bacharelado. Foi nesse sentido que governos de matizes políticas diversas reformaram e normatizaram a educação profissional que se constitui como um ensino específico, focado e diversificado para atender expectativas diversas, àquelas dos setores produtivos e econômicos, assim como as de </w:t>
      </w:r>
      <w:r w:rsidRPr="00AC31DE">
        <w:rPr>
          <w:rFonts w:ascii="Times New Roman" w:hAnsi="Times New Roman" w:cs="Times New Roman"/>
          <w:sz w:val="22"/>
          <w:szCs w:val="22"/>
        </w:rPr>
        <w:lastRenderedPageBreak/>
        <w:t>cunho social que buscam a conformação e o alívio de tensões na base da sociedade, que na contemporaneidade passam a ser rotuladas como inclusão, com o intuito de amenizar a situação de bolsões de miséria e pobreza que tenderiam a abalar estruturas sociais vigentes (AZEVEDO; COAN, 2013, p. 16).</w:t>
      </w:r>
    </w:p>
    <w:p w:rsidR="008808DD" w:rsidRPr="00B03735" w:rsidRDefault="008808DD" w:rsidP="008808DD">
      <w:pPr>
        <w:autoSpaceDE w:val="0"/>
        <w:autoSpaceDN w:val="0"/>
        <w:adjustRightInd w:val="0"/>
        <w:spacing w:line="360" w:lineRule="auto"/>
        <w:ind w:firstLine="709"/>
        <w:jc w:val="both"/>
        <w:rPr>
          <w:rFonts w:ascii="Times New Roman" w:hAnsi="Times New Roman" w:cs="Times New Roman"/>
        </w:rPr>
      </w:pPr>
    </w:p>
    <w:p w:rsidR="008808DD" w:rsidRPr="00B03735" w:rsidRDefault="008808DD" w:rsidP="00415C7B">
      <w:pPr>
        <w:autoSpaceDE w:val="0"/>
        <w:autoSpaceDN w:val="0"/>
        <w:adjustRightInd w:val="0"/>
        <w:spacing w:line="360" w:lineRule="auto"/>
        <w:ind w:firstLine="567"/>
        <w:jc w:val="both"/>
        <w:rPr>
          <w:rFonts w:ascii="Times New Roman" w:hAnsi="Times New Roman" w:cs="Times New Roman"/>
        </w:rPr>
      </w:pPr>
      <w:r w:rsidRPr="00B03735">
        <w:rPr>
          <w:rFonts w:ascii="Times New Roman" w:hAnsi="Times New Roman" w:cs="Times New Roman"/>
        </w:rPr>
        <w:t xml:space="preserve">Os </w:t>
      </w:r>
      <w:proofErr w:type="spellStart"/>
      <w:r w:rsidRPr="00B03735">
        <w:rPr>
          <w:rFonts w:ascii="Times New Roman" w:hAnsi="Times New Roman" w:cs="Times New Roman"/>
        </w:rPr>
        <w:t>IFs</w:t>
      </w:r>
      <w:proofErr w:type="spellEnd"/>
      <w:r w:rsidRPr="00B03735">
        <w:rPr>
          <w:rFonts w:ascii="Times New Roman" w:hAnsi="Times New Roman" w:cs="Times New Roman"/>
        </w:rPr>
        <w:t xml:space="preserve"> não foram pensados a partir da superação de uma apropriação educacional entendida como educação profissional e tecnológica com vistas à formação do ser humano, com base nos princípios da </w:t>
      </w:r>
      <w:proofErr w:type="spellStart"/>
      <w:r w:rsidRPr="00B03735">
        <w:rPr>
          <w:rFonts w:ascii="Times New Roman" w:hAnsi="Times New Roman" w:cs="Times New Roman"/>
        </w:rPr>
        <w:t>politecnia</w:t>
      </w:r>
      <w:proofErr w:type="spellEnd"/>
      <w:r w:rsidRPr="00B03735">
        <w:rPr>
          <w:rFonts w:ascii="Times New Roman" w:hAnsi="Times New Roman" w:cs="Times New Roman"/>
        </w:rPr>
        <w:t>, visando à construção da emancipação humana do jugo do capital. Infelizmente, resultou numa educação escassa, para os “pobres e desvalidos da sorte”, para que possam tentar se incluir na perversa sociedade de classes sob os ditames do capital (AZEVEDO; COAN, 2013).</w:t>
      </w:r>
    </w:p>
    <w:p w:rsidR="008808DD" w:rsidRPr="0008034B" w:rsidRDefault="008808DD" w:rsidP="00415C7B">
      <w:pPr>
        <w:spacing w:line="360" w:lineRule="auto"/>
        <w:ind w:firstLine="567"/>
        <w:jc w:val="both"/>
        <w:rPr>
          <w:rFonts w:ascii="Times New Roman" w:hAnsi="Times New Roman" w:cs="Times New Roman"/>
        </w:rPr>
      </w:pPr>
      <w:proofErr w:type="spellStart"/>
      <w:r w:rsidRPr="00B03735">
        <w:rPr>
          <w:rFonts w:ascii="Times New Roman" w:hAnsi="Times New Roman" w:cs="Times New Roman"/>
        </w:rPr>
        <w:t>Otranto</w:t>
      </w:r>
      <w:proofErr w:type="spellEnd"/>
      <w:r w:rsidRPr="00B03735">
        <w:rPr>
          <w:rFonts w:ascii="Times New Roman" w:hAnsi="Times New Roman" w:cs="Times New Roman"/>
        </w:rPr>
        <w:t xml:space="preserve"> (2010), problematizando sobre a criação e implantação dos </w:t>
      </w:r>
      <w:proofErr w:type="spellStart"/>
      <w:r w:rsidRPr="00B03735">
        <w:rPr>
          <w:rFonts w:ascii="Times New Roman" w:hAnsi="Times New Roman" w:cs="Times New Roman"/>
        </w:rPr>
        <w:t>IFs</w:t>
      </w:r>
      <w:proofErr w:type="spellEnd"/>
      <w:r w:rsidRPr="00B03735">
        <w:rPr>
          <w:rFonts w:ascii="Times New Roman" w:hAnsi="Times New Roman" w:cs="Times New Roman"/>
        </w:rPr>
        <w:t xml:space="preserve">, destaca que este é um modelo alternativo à “universidade de pesquisa”, que vem no bojo das reformas ocorridas na América Latina nos últimos anos, impulsionadas pelo BM. Estas reformas educacionais reforçam a ideia de criação de IES com custos financeiros menores aos das universidades, e a ênfase nos cursos de tecnologia a nível superior, pois, com caráter de maior flexibilidade, estariam mais integrados ao sistema produtivo e com menor custo, se comparado às universidades tradicionais. </w:t>
      </w:r>
    </w:p>
    <w:p w:rsidR="008808DD" w:rsidRDefault="008808DD" w:rsidP="00415C7B">
      <w:pPr>
        <w:spacing w:line="360" w:lineRule="auto"/>
        <w:ind w:firstLine="567"/>
        <w:jc w:val="both"/>
        <w:rPr>
          <w:rFonts w:ascii="Times New Roman" w:hAnsi="Times New Roman" w:cs="Times New Roman"/>
        </w:rPr>
      </w:pPr>
      <w:r w:rsidRPr="0008034B">
        <w:rPr>
          <w:rFonts w:ascii="Times New Roman" w:hAnsi="Times New Roman" w:cs="Times New Roman"/>
        </w:rPr>
        <w:t xml:space="preserve">O Estado brasileiro, se analisarmos os governos neoliberais, a partir da década de 1990, optaram pela lógica de “submissão consentida” (NEVES, 2005) aos ditames do capital internacional expressos na classe que mantém a hegemonia política e cultural no Brasil, sob o contexto de reestruturação produtiva. </w:t>
      </w:r>
    </w:p>
    <w:p w:rsidR="00CE392A" w:rsidRDefault="00CE392A" w:rsidP="0033571C">
      <w:pPr>
        <w:pStyle w:val="PargrafodaLista"/>
        <w:spacing w:after="0" w:line="360" w:lineRule="auto"/>
        <w:ind w:left="0"/>
        <w:jc w:val="both"/>
        <w:rPr>
          <w:rFonts w:ascii="Times New Roman" w:hAnsi="Times New Roman" w:cs="Times New Roman"/>
          <w:b/>
          <w:sz w:val="24"/>
        </w:rPr>
      </w:pPr>
    </w:p>
    <w:p w:rsidR="008808DD" w:rsidRPr="00B03735" w:rsidRDefault="0033571C" w:rsidP="0033571C">
      <w:pPr>
        <w:pStyle w:val="PargrafodaLista"/>
        <w:spacing w:after="0" w:line="360" w:lineRule="auto"/>
        <w:ind w:left="0"/>
        <w:jc w:val="both"/>
        <w:rPr>
          <w:rFonts w:ascii="Times New Roman" w:hAnsi="Times New Roman" w:cs="Times New Roman"/>
          <w:b/>
          <w:sz w:val="24"/>
        </w:rPr>
      </w:pPr>
      <w:r>
        <w:rPr>
          <w:rFonts w:ascii="Times New Roman" w:hAnsi="Times New Roman" w:cs="Times New Roman"/>
          <w:b/>
          <w:sz w:val="24"/>
        </w:rPr>
        <w:t>CONSIDERAÇÕES FINAIS</w:t>
      </w:r>
    </w:p>
    <w:p w:rsidR="008808DD" w:rsidRPr="00B03735" w:rsidRDefault="008808DD" w:rsidP="008808DD">
      <w:pPr>
        <w:spacing w:line="360" w:lineRule="auto"/>
        <w:ind w:firstLine="709"/>
        <w:jc w:val="both"/>
        <w:rPr>
          <w:rFonts w:ascii="Times New Roman" w:hAnsi="Times New Roman" w:cs="Times New Roman"/>
        </w:rPr>
      </w:pPr>
    </w:p>
    <w:p w:rsidR="008808DD" w:rsidRPr="00B03735" w:rsidRDefault="0033571C" w:rsidP="00415C7B">
      <w:pPr>
        <w:spacing w:line="360" w:lineRule="auto"/>
        <w:ind w:firstLine="567"/>
        <w:jc w:val="both"/>
        <w:rPr>
          <w:rFonts w:ascii="Times New Roman" w:hAnsi="Times New Roman" w:cs="Times New Roman"/>
        </w:rPr>
      </w:pPr>
      <w:r>
        <w:rPr>
          <w:rFonts w:ascii="Times New Roman" w:hAnsi="Times New Roman" w:cs="Times New Roman"/>
        </w:rPr>
        <w:t xml:space="preserve">Considera-se que, com a implementação dos </w:t>
      </w:r>
      <w:proofErr w:type="spellStart"/>
      <w:r w:rsidR="008808DD" w:rsidRPr="00B03735">
        <w:rPr>
          <w:rFonts w:ascii="Times New Roman" w:hAnsi="Times New Roman" w:cs="Times New Roman"/>
        </w:rPr>
        <w:t>IFs</w:t>
      </w:r>
      <w:proofErr w:type="spellEnd"/>
      <w:r w:rsidR="008808DD" w:rsidRPr="00B03735">
        <w:rPr>
          <w:rFonts w:ascii="Times New Roman" w:hAnsi="Times New Roman" w:cs="Times New Roman"/>
        </w:rPr>
        <w:t>, optou-se por ampliar a oferta de educação pública com uma “escola pública mínima/enxuta”, condição própria de um Estado que assume a característica de ser mínimo para as políticas públicas e sociais. Por esta ótica, as instituições federais que ofertam ensino superior não são exclusivamente as universidades de pesquisa, mas, contam com um modelo alternativo de instituições para a oferta de educação profissional, técnica e tecnológica.</w:t>
      </w:r>
    </w:p>
    <w:p w:rsidR="008808DD" w:rsidRPr="00B03735" w:rsidRDefault="008808DD" w:rsidP="00415C7B">
      <w:pPr>
        <w:autoSpaceDE w:val="0"/>
        <w:autoSpaceDN w:val="0"/>
        <w:adjustRightInd w:val="0"/>
        <w:spacing w:line="360" w:lineRule="auto"/>
        <w:ind w:firstLine="567"/>
        <w:jc w:val="both"/>
        <w:rPr>
          <w:rFonts w:ascii="Times New Roman" w:hAnsi="Times New Roman" w:cs="Times New Roman"/>
        </w:rPr>
      </w:pPr>
      <w:r w:rsidRPr="00B03735">
        <w:rPr>
          <w:rFonts w:ascii="Times New Roman" w:hAnsi="Times New Roman" w:cs="Times New Roman"/>
        </w:rPr>
        <w:t>Numa sociedade, como a brasileira, regida pelos princípios hegemônicos do capital, as políticas educacionais estão direta e indiretamente voltadas para o mercado e para o desenvolvimento capitalista, pois o Estado participa da reprodução do capital. Considera-se,</w:t>
      </w:r>
      <w:r>
        <w:rPr>
          <w:rFonts w:ascii="Times New Roman" w:hAnsi="Times New Roman" w:cs="Times New Roman"/>
        </w:rPr>
        <w:t xml:space="preserve"> </w:t>
      </w:r>
      <w:r>
        <w:rPr>
          <w:rFonts w:ascii="Times New Roman" w:hAnsi="Times New Roman" w:cs="Times New Roman"/>
        </w:rPr>
        <w:lastRenderedPageBreak/>
        <w:t>entretanto,</w:t>
      </w:r>
      <w:r w:rsidRPr="00B03735">
        <w:rPr>
          <w:rFonts w:ascii="Times New Roman" w:hAnsi="Times New Roman" w:cs="Times New Roman"/>
        </w:rPr>
        <w:t xml:space="preserve"> que o Estado brasileiro mesmo caracterizando-se como mínimo para as políticas públicas e sociais, não atendeu, somente à lógica do capital. </w:t>
      </w:r>
    </w:p>
    <w:p w:rsidR="008808DD" w:rsidRPr="00B03735" w:rsidRDefault="008808DD" w:rsidP="00415C7B">
      <w:pPr>
        <w:spacing w:line="360" w:lineRule="auto"/>
        <w:ind w:firstLine="567"/>
        <w:jc w:val="both"/>
        <w:rPr>
          <w:rFonts w:ascii="Times New Roman" w:hAnsi="Times New Roman" w:cs="Times New Roman"/>
        </w:rPr>
      </w:pPr>
      <w:r w:rsidRPr="00B03735">
        <w:rPr>
          <w:rFonts w:ascii="Times New Roman" w:hAnsi="Times New Roman" w:cs="Times New Roman"/>
        </w:rPr>
        <w:t>De acordo com Neves (2002, p. 219),</w:t>
      </w:r>
    </w:p>
    <w:p w:rsidR="008808DD" w:rsidRPr="00B03735" w:rsidRDefault="008808DD" w:rsidP="008808DD">
      <w:pPr>
        <w:spacing w:line="360" w:lineRule="auto"/>
        <w:ind w:firstLine="709"/>
        <w:jc w:val="both"/>
        <w:rPr>
          <w:rFonts w:ascii="Times New Roman" w:hAnsi="Times New Roman" w:cs="Times New Roman"/>
        </w:rPr>
      </w:pPr>
    </w:p>
    <w:p w:rsidR="008808DD" w:rsidRPr="00B03735" w:rsidRDefault="008808DD" w:rsidP="008808DD">
      <w:pPr>
        <w:pStyle w:val="PN-PARAGRAFONORMAL"/>
        <w:spacing w:line="240" w:lineRule="auto"/>
        <w:ind w:left="2268" w:firstLine="0"/>
        <w:rPr>
          <w:sz w:val="22"/>
          <w:szCs w:val="22"/>
        </w:rPr>
      </w:pPr>
      <w:r w:rsidRPr="00B03735">
        <w:rPr>
          <w:sz w:val="22"/>
          <w:szCs w:val="22"/>
        </w:rPr>
        <w:t>[...] o Estado, longe de se apresentar como gerência da classe dominante, afigura-se como condensação de relações de força entre classes e frações de classes. Mesmo com a ampla hegemonia da proposta burguesa de sociedade e de educação no Brasil nos dias atuais, o Estado, ao definir suas políticas, leva em conta os imperativos do capital em seu conjunto e também das outras classes sociais, e não apenas as demandas imediatas de um capitalista singular ou de fração do capital.</w:t>
      </w:r>
    </w:p>
    <w:p w:rsidR="008808DD" w:rsidRPr="00B03735" w:rsidRDefault="008808DD" w:rsidP="008808DD">
      <w:pPr>
        <w:spacing w:line="360" w:lineRule="auto"/>
        <w:ind w:firstLine="709"/>
        <w:jc w:val="both"/>
        <w:rPr>
          <w:rFonts w:ascii="Times New Roman" w:hAnsi="Times New Roman" w:cs="Times New Roman"/>
        </w:rPr>
      </w:pPr>
    </w:p>
    <w:p w:rsidR="008808DD" w:rsidRPr="00B03735" w:rsidRDefault="008808DD" w:rsidP="00415C7B">
      <w:pPr>
        <w:spacing w:line="360" w:lineRule="auto"/>
        <w:ind w:firstLine="567"/>
        <w:jc w:val="both"/>
        <w:rPr>
          <w:rFonts w:ascii="Times New Roman" w:hAnsi="Times New Roman" w:cs="Times New Roman"/>
        </w:rPr>
      </w:pPr>
      <w:r w:rsidRPr="00B03735">
        <w:rPr>
          <w:rFonts w:ascii="Times New Roman" w:hAnsi="Times New Roman" w:cs="Times New Roman"/>
        </w:rPr>
        <w:t>Numa</w:t>
      </w:r>
      <w:r w:rsidRPr="00B03735">
        <w:rPr>
          <w:rFonts w:ascii="Times New Roman" w:hAnsi="Times New Roman" w:cs="Times New Roman"/>
          <w:bCs/>
        </w:rPr>
        <w:t xml:space="preserve"> leitura dialética da realidade, entende-se que</w:t>
      </w:r>
      <w:r w:rsidRPr="00B03735">
        <w:rPr>
          <w:rFonts w:ascii="Times New Roman" w:hAnsi="Times New Roman" w:cs="Times New Roman"/>
        </w:rPr>
        <w:t xml:space="preserve"> o Estado, embora </w:t>
      </w:r>
      <w:r w:rsidR="00BE14FA">
        <w:rPr>
          <w:rFonts w:ascii="Times New Roman" w:hAnsi="Times New Roman" w:cs="Times New Roman"/>
        </w:rPr>
        <w:t>hegemonizado pela burguesia</w:t>
      </w:r>
      <w:r w:rsidRPr="00B03735">
        <w:rPr>
          <w:rFonts w:ascii="Times New Roman" w:hAnsi="Times New Roman" w:cs="Times New Roman"/>
        </w:rPr>
        <w:t xml:space="preserve">, não é absolutamente burguês, também a educação não é absolutamente expressão da vontade burguesa. Portanto, na criação dos </w:t>
      </w:r>
      <w:proofErr w:type="spellStart"/>
      <w:r w:rsidRPr="00B03735">
        <w:rPr>
          <w:rFonts w:ascii="Times New Roman" w:hAnsi="Times New Roman" w:cs="Times New Roman"/>
        </w:rPr>
        <w:t>IFs</w:t>
      </w:r>
      <w:proofErr w:type="spellEnd"/>
      <w:r w:rsidRPr="00B03735">
        <w:rPr>
          <w:rFonts w:ascii="Times New Roman" w:hAnsi="Times New Roman" w:cs="Times New Roman"/>
        </w:rPr>
        <w:t xml:space="preserve">, houve a ampliação da oferta de educação pública que, embora também inserida nos limites da sociedade de classes, constitui uma possibilidade de formação e desenvolvimento de “intelectuais orgânicos” comprometidos com a superação das relações sociais capitalistas. </w:t>
      </w:r>
    </w:p>
    <w:p w:rsidR="003A4EAC" w:rsidRPr="00A359E6" w:rsidRDefault="003A4EAC" w:rsidP="003036E4">
      <w:pPr>
        <w:jc w:val="both"/>
        <w:rPr>
          <w:rFonts w:ascii="Times New Roman" w:hAnsi="Times New Roman" w:cs="Times New Roman"/>
          <w:b/>
          <w:lang w:val="it-IT"/>
        </w:rPr>
      </w:pPr>
    </w:p>
    <w:p w:rsidR="003A4EAC" w:rsidRPr="00A359E6" w:rsidRDefault="003A4EAC" w:rsidP="003036E4">
      <w:pPr>
        <w:jc w:val="both"/>
        <w:rPr>
          <w:rFonts w:ascii="Times New Roman" w:hAnsi="Times New Roman" w:cs="Times New Roman"/>
          <w:b/>
          <w:lang w:val="it-IT"/>
        </w:rPr>
      </w:pPr>
      <w:r w:rsidRPr="00A359E6">
        <w:rPr>
          <w:rFonts w:ascii="Times New Roman" w:hAnsi="Times New Roman" w:cs="Times New Roman"/>
          <w:b/>
          <w:lang w:val="it-IT"/>
        </w:rPr>
        <w:t>REFERÊNCIAS BIBLIOGRÁFICAS</w:t>
      </w:r>
    </w:p>
    <w:p w:rsidR="003A4EAC" w:rsidRDefault="003A4EAC" w:rsidP="003036E4">
      <w:pPr>
        <w:jc w:val="both"/>
        <w:rPr>
          <w:rFonts w:ascii="Times New Roman" w:hAnsi="Times New Roman" w:cs="Times New Roman"/>
          <w:b/>
          <w:lang w:val="it-IT"/>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AZEVEDO, Luiz Alberto; COAN, </w:t>
      </w:r>
      <w:proofErr w:type="spellStart"/>
      <w:r w:rsidRPr="00505846">
        <w:rPr>
          <w:rFonts w:ascii="Times New Roman" w:hAnsi="Times New Roman" w:cs="Times New Roman"/>
          <w:sz w:val="24"/>
          <w:szCs w:val="24"/>
        </w:rPr>
        <w:t>Marival</w:t>
      </w:r>
      <w:proofErr w:type="spellEnd"/>
      <w:r w:rsidRPr="00505846">
        <w:rPr>
          <w:rFonts w:ascii="Times New Roman" w:hAnsi="Times New Roman" w:cs="Times New Roman"/>
          <w:sz w:val="24"/>
          <w:szCs w:val="24"/>
        </w:rPr>
        <w:t xml:space="preserve">. O ensino profissional no Brasil: Atender “os pobres e desvalidos da sorte” e incluí-los na sociedade de classes – uma ideologia que perpassa os séculos XX e XXI. </w:t>
      </w:r>
      <w:r w:rsidRPr="00505846">
        <w:rPr>
          <w:rFonts w:ascii="Times New Roman" w:hAnsi="Times New Roman" w:cs="Times New Roman"/>
          <w:b/>
          <w:iCs/>
          <w:sz w:val="24"/>
          <w:szCs w:val="24"/>
        </w:rPr>
        <w:t>Trabalho Necessário</w:t>
      </w:r>
      <w:r w:rsidRPr="00505846">
        <w:rPr>
          <w:rFonts w:ascii="Times New Roman" w:hAnsi="Times New Roman" w:cs="Times New Roman"/>
          <w:sz w:val="24"/>
          <w:szCs w:val="24"/>
        </w:rPr>
        <w:t>, Niterói/RJ, ano 11, n. 16, 2013. Disponível em: &lt; http://www.uff.br/trabalhonecessario&gt;. Acesso: 04 set. 2013.</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BRANDÃO, Marisa. O governo Lula e a chamada educação profissional tecnológica. </w:t>
      </w:r>
      <w:r w:rsidRPr="00505846">
        <w:rPr>
          <w:rFonts w:ascii="Times New Roman" w:hAnsi="Times New Roman" w:cs="Times New Roman"/>
          <w:b/>
          <w:sz w:val="24"/>
          <w:szCs w:val="24"/>
        </w:rPr>
        <w:t>RETTA</w:t>
      </w:r>
      <w:r w:rsidRPr="00505846">
        <w:rPr>
          <w:rFonts w:ascii="Times New Roman" w:hAnsi="Times New Roman" w:cs="Times New Roman"/>
          <w:sz w:val="24"/>
          <w:szCs w:val="24"/>
        </w:rPr>
        <w:t xml:space="preserve">. Rio de Janeiro, v.01, n. 01, </w:t>
      </w:r>
      <w:proofErr w:type="gramStart"/>
      <w:r w:rsidRPr="00505846">
        <w:rPr>
          <w:rFonts w:ascii="Times New Roman" w:hAnsi="Times New Roman" w:cs="Times New Roman"/>
          <w:sz w:val="24"/>
          <w:szCs w:val="24"/>
        </w:rPr>
        <w:t>jan./</w:t>
      </w:r>
      <w:proofErr w:type="gramEnd"/>
      <w:r w:rsidRPr="00505846">
        <w:rPr>
          <w:rFonts w:ascii="Times New Roman" w:hAnsi="Times New Roman" w:cs="Times New Roman"/>
          <w:sz w:val="24"/>
          <w:szCs w:val="24"/>
        </w:rPr>
        <w:t>jun., 2010. pp. 61-87.</w:t>
      </w:r>
    </w:p>
    <w:p w:rsidR="002C5F75" w:rsidRPr="00505846" w:rsidRDefault="002C5F75" w:rsidP="00505846">
      <w:pPr>
        <w:pStyle w:val="PargrafodaLista"/>
        <w:spacing w:after="0" w:line="240" w:lineRule="auto"/>
        <w:ind w:left="0"/>
        <w:jc w:val="both"/>
        <w:rPr>
          <w:rFonts w:ascii="Times New Roman" w:hAnsi="Times New Roman" w:cs="Times New Roman"/>
          <w:sz w:val="24"/>
          <w:szCs w:val="24"/>
        </w:rPr>
      </w:pPr>
      <w:bookmarkStart w:id="0" w:name="_GoBack"/>
      <w:bookmarkEnd w:id="0"/>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BRASIL. </w:t>
      </w:r>
      <w:r w:rsidRPr="00505846">
        <w:rPr>
          <w:rFonts w:ascii="Times New Roman" w:hAnsi="Times New Roman" w:cs="Times New Roman"/>
          <w:b/>
          <w:sz w:val="24"/>
          <w:szCs w:val="24"/>
        </w:rPr>
        <w:t>Decreto n. 6.095, de 24 de abril de 2007.</w:t>
      </w:r>
      <w:r w:rsidRPr="00505846">
        <w:rPr>
          <w:rFonts w:ascii="Times New Roman" w:hAnsi="Times New Roman" w:cs="Times New Roman"/>
          <w:sz w:val="24"/>
          <w:szCs w:val="24"/>
        </w:rPr>
        <w:t xml:space="preserve"> Estabelece diretrizes para o processo de integração de instituições federais de educação tecnológica, para fins de constituição dos Institutos Federais de Educação, Ciência e Tecnologia - IFET, no âmbito da Rede Federal de Educação Tecnológica.</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BRASIL. </w:t>
      </w:r>
      <w:r w:rsidRPr="00505846">
        <w:rPr>
          <w:rFonts w:ascii="Times New Roman" w:hAnsi="Times New Roman" w:cs="Times New Roman"/>
          <w:b/>
          <w:sz w:val="24"/>
          <w:szCs w:val="24"/>
        </w:rPr>
        <w:t>Chamada Pública 02/2007</w:t>
      </w:r>
      <w:r w:rsidRPr="00505846">
        <w:rPr>
          <w:rFonts w:ascii="Times New Roman" w:hAnsi="Times New Roman" w:cs="Times New Roman"/>
          <w:sz w:val="24"/>
          <w:szCs w:val="24"/>
        </w:rPr>
        <w:t xml:space="preserve">. Chamada para a adesão das Instituições que compõem a Rede Federal de Educação Tecnológica aos </w:t>
      </w:r>
      <w:proofErr w:type="spellStart"/>
      <w:r w:rsidRPr="00505846">
        <w:rPr>
          <w:rFonts w:ascii="Times New Roman" w:hAnsi="Times New Roman" w:cs="Times New Roman"/>
          <w:sz w:val="24"/>
          <w:szCs w:val="24"/>
        </w:rPr>
        <w:t>IFs</w:t>
      </w:r>
      <w:proofErr w:type="spellEnd"/>
      <w:r w:rsidRPr="00505846">
        <w:rPr>
          <w:rFonts w:ascii="Times New Roman" w:hAnsi="Times New Roman" w:cs="Times New Roman"/>
          <w:sz w:val="24"/>
          <w:szCs w:val="24"/>
        </w:rPr>
        <w:t>. Disponível em: &lt;http://portal.mec.gov.br/arquivos/pdf/chamada_publica_ifets3.pdf&gt;. Acesso: 20 mar. 2012.</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BRASIL. </w:t>
      </w:r>
      <w:r w:rsidRPr="00505846">
        <w:rPr>
          <w:rFonts w:ascii="Times New Roman" w:hAnsi="Times New Roman" w:cs="Times New Roman"/>
          <w:b/>
          <w:sz w:val="24"/>
          <w:szCs w:val="24"/>
        </w:rPr>
        <w:t>Portaria MEC/SETEC n° 116</w:t>
      </w:r>
      <w:r w:rsidRPr="00505846">
        <w:rPr>
          <w:rFonts w:ascii="Times New Roman" w:hAnsi="Times New Roman" w:cs="Times New Roman"/>
          <w:sz w:val="24"/>
          <w:szCs w:val="24"/>
        </w:rPr>
        <w:t xml:space="preserve"> </w:t>
      </w:r>
      <w:r w:rsidRPr="00505846">
        <w:rPr>
          <w:rFonts w:ascii="Times New Roman" w:hAnsi="Times New Roman" w:cs="Times New Roman"/>
          <w:b/>
          <w:sz w:val="24"/>
          <w:szCs w:val="24"/>
        </w:rPr>
        <w:t>de 31 de março de 2008.</w:t>
      </w:r>
      <w:r w:rsidRPr="00505846">
        <w:rPr>
          <w:rFonts w:ascii="Times New Roman" w:hAnsi="Times New Roman" w:cs="Times New Roman"/>
          <w:sz w:val="24"/>
          <w:szCs w:val="24"/>
        </w:rPr>
        <w:t xml:space="preserve"> Disponível em:</w:t>
      </w: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&lt;</w:t>
      </w:r>
      <w:proofErr w:type="gramStart"/>
      <w:r w:rsidRPr="00505846">
        <w:rPr>
          <w:rFonts w:ascii="Times New Roman" w:hAnsi="Times New Roman" w:cs="Times New Roman"/>
          <w:sz w:val="24"/>
          <w:szCs w:val="24"/>
        </w:rPr>
        <w:t>http://portal.mec.gov.br/arquivos/</w:t>
      </w:r>
      <w:proofErr w:type="spellStart"/>
      <w:r w:rsidRPr="00505846">
        <w:rPr>
          <w:rFonts w:ascii="Times New Roman" w:hAnsi="Times New Roman" w:cs="Times New Roman"/>
          <w:sz w:val="24"/>
          <w:szCs w:val="24"/>
        </w:rPr>
        <w:t>pde</w:t>
      </w:r>
      <w:proofErr w:type="spellEnd"/>
      <w:r w:rsidRPr="00505846">
        <w:rPr>
          <w:rFonts w:ascii="Times New Roman" w:hAnsi="Times New Roman" w:cs="Times New Roman"/>
          <w:sz w:val="24"/>
          <w:szCs w:val="24"/>
        </w:rPr>
        <w:t>/ifets_chamada.html</w:t>
      </w:r>
      <w:proofErr w:type="gramEnd"/>
      <w:r w:rsidRPr="00505846">
        <w:rPr>
          <w:rFonts w:ascii="Times New Roman" w:hAnsi="Times New Roman" w:cs="Times New Roman"/>
          <w:sz w:val="24"/>
          <w:szCs w:val="24"/>
        </w:rPr>
        <w:t>&gt;. Acesso: 20 mar. 2012.</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lastRenderedPageBreak/>
        <w:t xml:space="preserve">BRASIL. </w:t>
      </w:r>
      <w:r w:rsidRPr="00505846">
        <w:rPr>
          <w:rFonts w:ascii="Times New Roman" w:hAnsi="Times New Roman" w:cs="Times New Roman"/>
          <w:b/>
          <w:sz w:val="24"/>
          <w:szCs w:val="24"/>
        </w:rPr>
        <w:t xml:space="preserve">Projeto de Lei 3775, </w:t>
      </w:r>
      <w:r w:rsidRPr="00505846">
        <w:rPr>
          <w:rFonts w:ascii="Times New Roman" w:hAnsi="Times New Roman" w:cs="Times New Roman"/>
          <w:sz w:val="24"/>
          <w:szCs w:val="24"/>
          <w:shd w:val="clear" w:color="auto" w:fill="FFFFFF"/>
        </w:rPr>
        <w:t>de 23 de julho de 2008.</w:t>
      </w:r>
      <w:r w:rsidRPr="00505846">
        <w:rPr>
          <w:rFonts w:ascii="Times New Roman" w:hAnsi="Times New Roman" w:cs="Times New Roman"/>
          <w:sz w:val="24"/>
          <w:szCs w:val="24"/>
        </w:rPr>
        <w:t xml:space="preserve"> Projeto de Lei dos Institutos Federais de </w:t>
      </w:r>
      <w:proofErr w:type="gramStart"/>
      <w:r w:rsidRPr="00505846">
        <w:rPr>
          <w:rFonts w:ascii="Times New Roman" w:hAnsi="Times New Roman" w:cs="Times New Roman"/>
          <w:sz w:val="24"/>
          <w:szCs w:val="24"/>
        </w:rPr>
        <w:t>Ciência ,</w:t>
      </w:r>
      <w:proofErr w:type="gramEnd"/>
      <w:r w:rsidRPr="00505846">
        <w:rPr>
          <w:rFonts w:ascii="Times New Roman" w:hAnsi="Times New Roman" w:cs="Times New Roman"/>
          <w:sz w:val="24"/>
          <w:szCs w:val="24"/>
        </w:rPr>
        <w:t xml:space="preserve"> Educação e Tecnologia. Disponível em: &lt;</w:t>
      </w:r>
      <w:hyperlink r:id="rId9" w:history="1">
        <w:r w:rsidRPr="00505846">
          <w:rPr>
            <w:rStyle w:val="Hyperlink"/>
            <w:rFonts w:ascii="Times New Roman" w:hAnsi="Times New Roman" w:cs="Times New Roman"/>
            <w:color w:val="auto"/>
            <w:sz w:val="24"/>
            <w:szCs w:val="24"/>
            <w:u w:val="none"/>
          </w:rPr>
          <w:t>http://www.camara.gov.br/sileg/Prop_Detalhe.asp?id=405479</w:t>
        </w:r>
      </w:hyperlink>
      <w:r w:rsidRPr="00505846">
        <w:rPr>
          <w:rFonts w:ascii="Times New Roman" w:hAnsi="Times New Roman" w:cs="Times New Roman"/>
          <w:sz w:val="24"/>
          <w:szCs w:val="24"/>
        </w:rPr>
        <w:t>&gt;. Acesso: 20 mar. 2012.</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BRASIL. </w:t>
      </w:r>
      <w:r w:rsidRPr="00505846">
        <w:rPr>
          <w:rFonts w:ascii="Times New Roman" w:eastAsia="SimHei" w:hAnsi="Times New Roman" w:cs="Times New Roman"/>
          <w:b/>
          <w:sz w:val="24"/>
          <w:szCs w:val="24"/>
        </w:rPr>
        <w:t>Lei</w:t>
      </w:r>
      <w:r w:rsidRPr="00505846">
        <w:rPr>
          <w:rFonts w:ascii="Times New Roman" w:hAnsi="Times New Roman" w:cs="Times New Roman"/>
          <w:b/>
          <w:sz w:val="24"/>
          <w:szCs w:val="24"/>
        </w:rPr>
        <w:t xml:space="preserve"> n</w:t>
      </w:r>
      <w:r w:rsidRPr="00505846">
        <w:rPr>
          <w:rFonts w:ascii="Times New Roman" w:eastAsia="MS Mincho" w:hAnsi="Times New Roman" w:cs="Times New Roman"/>
          <w:b/>
          <w:sz w:val="24"/>
          <w:szCs w:val="24"/>
        </w:rPr>
        <w:t>º</w:t>
      </w:r>
      <w:r w:rsidRPr="00505846">
        <w:rPr>
          <w:rFonts w:ascii="Times New Roman" w:hAnsi="Times New Roman" w:cs="Times New Roman"/>
          <w:b/>
          <w:sz w:val="24"/>
          <w:szCs w:val="24"/>
        </w:rPr>
        <w:t xml:space="preserve"> 11892, </w:t>
      </w:r>
      <w:r w:rsidRPr="00505846">
        <w:rPr>
          <w:rFonts w:ascii="Times New Roman" w:hAnsi="Times New Roman" w:cs="Times New Roman"/>
          <w:sz w:val="24"/>
          <w:szCs w:val="24"/>
        </w:rPr>
        <w:t>de 29 de dezembro de 2008. Institui a Rede Federal de Educa</w:t>
      </w:r>
      <w:r w:rsidRPr="00505846">
        <w:rPr>
          <w:rFonts w:ascii="Times New Roman" w:eastAsia="MS Mincho" w:hAnsi="Times New Roman" w:cs="Times New Roman"/>
          <w:sz w:val="24"/>
          <w:szCs w:val="24"/>
        </w:rPr>
        <w:t>çã</w:t>
      </w:r>
      <w:r w:rsidRPr="00505846">
        <w:rPr>
          <w:rFonts w:ascii="Times New Roman" w:eastAsia="SimHei" w:hAnsi="Times New Roman" w:cs="Times New Roman"/>
          <w:sz w:val="24"/>
          <w:szCs w:val="24"/>
        </w:rPr>
        <w:t>o</w:t>
      </w:r>
      <w:r w:rsidRPr="00505846">
        <w:rPr>
          <w:rFonts w:ascii="Times New Roman" w:hAnsi="Times New Roman" w:cs="Times New Roman"/>
          <w:sz w:val="24"/>
          <w:szCs w:val="24"/>
        </w:rPr>
        <w:t xml:space="preserve"> Profissional, Científica e Tecnológica, cria os Institutos Federais de Educa</w:t>
      </w:r>
      <w:r w:rsidRPr="00505846">
        <w:rPr>
          <w:rFonts w:ascii="Times New Roman" w:eastAsia="MS Mincho" w:hAnsi="Times New Roman" w:cs="Times New Roman"/>
          <w:sz w:val="24"/>
          <w:szCs w:val="24"/>
        </w:rPr>
        <w:t>çã</w:t>
      </w:r>
      <w:r w:rsidRPr="00505846">
        <w:rPr>
          <w:rFonts w:ascii="Times New Roman" w:eastAsia="SimHei" w:hAnsi="Times New Roman" w:cs="Times New Roman"/>
          <w:sz w:val="24"/>
          <w:szCs w:val="24"/>
        </w:rPr>
        <w:t>o</w:t>
      </w:r>
      <w:r w:rsidRPr="00505846">
        <w:rPr>
          <w:rFonts w:ascii="Times New Roman" w:hAnsi="Times New Roman" w:cs="Times New Roman"/>
          <w:sz w:val="24"/>
          <w:szCs w:val="24"/>
        </w:rPr>
        <w:t>, Ciência e Tecnologia, e dá outras providências.</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Default="00505846" w:rsidP="00505846">
      <w:pPr>
        <w:pStyle w:val="PargrafodaLista"/>
        <w:spacing w:after="0" w:line="240" w:lineRule="auto"/>
        <w:ind w:left="0"/>
        <w:jc w:val="both"/>
        <w:rPr>
          <w:rFonts w:ascii="Times New Roman" w:eastAsia="Times New Roman" w:hAnsi="Times New Roman" w:cs="Times New Roman"/>
          <w:sz w:val="24"/>
          <w:szCs w:val="24"/>
          <w:lang w:eastAsia="pt-BR"/>
        </w:rPr>
      </w:pPr>
      <w:r w:rsidRPr="00505846">
        <w:rPr>
          <w:rFonts w:ascii="Times New Roman" w:hAnsi="Times New Roman" w:cs="Times New Roman"/>
          <w:sz w:val="24"/>
          <w:szCs w:val="24"/>
        </w:rPr>
        <w:t xml:space="preserve">BRASIL. </w:t>
      </w:r>
      <w:r w:rsidRPr="00505846">
        <w:rPr>
          <w:rFonts w:ascii="Times New Roman" w:eastAsia="Times New Roman" w:hAnsi="Times New Roman" w:cs="Times New Roman"/>
          <w:sz w:val="24"/>
          <w:szCs w:val="24"/>
          <w:lang w:eastAsia="pt-BR"/>
        </w:rPr>
        <w:t>(Ministério da Educação). </w:t>
      </w:r>
      <w:r w:rsidRPr="00505846">
        <w:rPr>
          <w:rFonts w:ascii="Times New Roman" w:eastAsia="Times New Roman" w:hAnsi="Times New Roman" w:cs="Times New Roman"/>
          <w:b/>
          <w:bCs/>
          <w:sz w:val="24"/>
          <w:szCs w:val="24"/>
          <w:lang w:eastAsia="pt-BR"/>
        </w:rPr>
        <w:t>O Plano de Desenvolvimento da Educação: </w:t>
      </w:r>
      <w:r w:rsidRPr="00505846">
        <w:rPr>
          <w:rFonts w:ascii="Times New Roman" w:eastAsia="Times New Roman" w:hAnsi="Times New Roman" w:cs="Times New Roman"/>
          <w:sz w:val="24"/>
          <w:szCs w:val="24"/>
          <w:lang w:eastAsia="pt-BR"/>
        </w:rPr>
        <w:t>Razões, Princípios e Programas. Brasília, 2007. Disponível em: </w:t>
      </w:r>
      <w:r w:rsidRPr="00505846">
        <w:rPr>
          <w:rFonts w:ascii="Times New Roman" w:hAnsi="Times New Roman" w:cs="Times New Roman"/>
          <w:sz w:val="24"/>
          <w:szCs w:val="24"/>
        </w:rPr>
        <w:t>&lt;</w:t>
      </w:r>
      <w:hyperlink r:id="rId10" w:tgtFrame="_blank" w:history="1">
        <w:r w:rsidRPr="00505846">
          <w:rPr>
            <w:rFonts w:ascii="Times New Roman" w:eastAsia="Times New Roman" w:hAnsi="Times New Roman" w:cs="Times New Roman"/>
            <w:sz w:val="24"/>
            <w:szCs w:val="24"/>
            <w:lang w:eastAsia="pt-BR"/>
          </w:rPr>
          <w:t>http://pde.mec.gov.br/</w:t>
        </w:r>
      </w:hyperlink>
      <w:r w:rsidRPr="00505846">
        <w:rPr>
          <w:rFonts w:ascii="Times New Roman" w:hAnsi="Times New Roman" w:cs="Times New Roman"/>
          <w:sz w:val="24"/>
          <w:szCs w:val="24"/>
        </w:rPr>
        <w:t>&gt;</w:t>
      </w:r>
      <w:r w:rsidRPr="00505846">
        <w:rPr>
          <w:rFonts w:ascii="Times New Roman" w:eastAsia="Times New Roman" w:hAnsi="Times New Roman" w:cs="Times New Roman"/>
          <w:sz w:val="24"/>
          <w:szCs w:val="24"/>
          <w:lang w:eastAsia="pt-BR"/>
        </w:rPr>
        <w:t>. Acesso: 29 abr. 2010.</w:t>
      </w:r>
    </w:p>
    <w:p w:rsidR="00505846" w:rsidRDefault="00505846" w:rsidP="00505846">
      <w:pPr>
        <w:rPr>
          <w:rFonts w:ascii="Times New Roman" w:hAnsi="Times New Roman" w:cs="Times New Roman"/>
        </w:rPr>
      </w:pPr>
    </w:p>
    <w:p w:rsidR="00505846" w:rsidRPr="00505846" w:rsidRDefault="00505846" w:rsidP="00505846">
      <w:pPr>
        <w:rPr>
          <w:rFonts w:ascii="Times New Roman" w:hAnsi="Times New Roman" w:cs="Times New Roman"/>
        </w:rPr>
      </w:pPr>
      <w:r w:rsidRPr="00505846">
        <w:rPr>
          <w:rFonts w:ascii="Times New Roman" w:hAnsi="Times New Roman" w:cs="Times New Roman"/>
        </w:rPr>
        <w:t>BRASIL. Rede Federal de Educa</w:t>
      </w:r>
      <w:r w:rsidRPr="00505846">
        <w:rPr>
          <w:rFonts w:ascii="Times New Roman" w:eastAsia="MS Mincho" w:hAnsi="Times New Roman" w:cs="Times New Roman"/>
        </w:rPr>
        <w:t>çã</w:t>
      </w:r>
      <w:r w:rsidRPr="00505846">
        <w:rPr>
          <w:rFonts w:ascii="Times New Roman" w:eastAsia="SimHei" w:hAnsi="Times New Roman" w:cs="Times New Roman"/>
        </w:rPr>
        <w:t>o</w:t>
      </w:r>
      <w:r w:rsidRPr="00505846">
        <w:rPr>
          <w:rFonts w:ascii="Times New Roman" w:hAnsi="Times New Roman" w:cs="Times New Roman"/>
        </w:rPr>
        <w:t xml:space="preserve"> Profissional, Científica e Tecnológica</w:t>
      </w:r>
      <w:r>
        <w:rPr>
          <w:rFonts w:ascii="Times New Roman" w:hAnsi="Times New Roman" w:cs="Times New Roman"/>
        </w:rPr>
        <w:t xml:space="preserve">. In: </w:t>
      </w:r>
      <w:r w:rsidRPr="00505846">
        <w:rPr>
          <w:rFonts w:ascii="Times New Roman" w:hAnsi="Times New Roman" w:cs="Times New Roman"/>
        </w:rPr>
        <w:t>&lt;</w:t>
      </w:r>
      <w:hyperlink r:id="rId11" w:history="1">
        <w:r w:rsidRPr="00505846">
          <w:rPr>
            <w:rStyle w:val="Hyperlink"/>
            <w:rFonts w:ascii="Times New Roman" w:hAnsi="Times New Roman" w:cs="Times New Roman"/>
            <w:color w:val="auto"/>
            <w:u w:val="none"/>
          </w:rPr>
          <w:t>http://redefederal.mec.gov.br/instituicoes</w:t>
        </w:r>
      </w:hyperlink>
      <w:r w:rsidRPr="00505846">
        <w:rPr>
          <w:rStyle w:val="Hyperlink"/>
          <w:rFonts w:ascii="Times New Roman" w:hAnsi="Times New Roman" w:cs="Times New Roman"/>
          <w:color w:val="auto"/>
          <w:u w:val="none"/>
        </w:rPr>
        <w:t>&gt;. Acesso em: 14 set. 2016</w:t>
      </w: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CIAVATTA, Maria. Os Centros Federais de Educação Tecnológica e o ensino superior: duas lógicas em confronto.</w:t>
      </w:r>
      <w:r w:rsidRPr="00505846">
        <w:rPr>
          <w:rFonts w:ascii="Times New Roman" w:hAnsi="Times New Roman" w:cs="Times New Roman"/>
          <w:i/>
          <w:sz w:val="24"/>
          <w:szCs w:val="24"/>
        </w:rPr>
        <w:t xml:space="preserve"> </w:t>
      </w:r>
      <w:r w:rsidRPr="00505846">
        <w:rPr>
          <w:rFonts w:ascii="Times New Roman" w:hAnsi="Times New Roman" w:cs="Times New Roman"/>
          <w:b/>
          <w:sz w:val="24"/>
          <w:szCs w:val="24"/>
        </w:rPr>
        <w:t>Educação e Sociedade</w:t>
      </w:r>
      <w:r w:rsidRPr="00505846">
        <w:rPr>
          <w:rFonts w:ascii="Times New Roman" w:hAnsi="Times New Roman" w:cs="Times New Roman"/>
          <w:sz w:val="24"/>
          <w:szCs w:val="24"/>
        </w:rPr>
        <w:t>, Campinas/SP, vol. 27, n. 96 – Especial, p. 911-934, out. 2006.</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CIAVATTA, Maria. Universidade, pecado nativo. Carta Aberta. </w:t>
      </w:r>
      <w:r w:rsidRPr="00505846">
        <w:rPr>
          <w:rFonts w:ascii="Times New Roman" w:hAnsi="Times New Roman" w:cs="Times New Roman"/>
          <w:b/>
          <w:iCs/>
          <w:sz w:val="24"/>
          <w:szCs w:val="24"/>
        </w:rPr>
        <w:t>Trabalho Necessário</w:t>
      </w:r>
      <w:r w:rsidRPr="00505846">
        <w:rPr>
          <w:rFonts w:ascii="Times New Roman" w:hAnsi="Times New Roman" w:cs="Times New Roman"/>
          <w:sz w:val="24"/>
          <w:szCs w:val="24"/>
        </w:rPr>
        <w:t>, Niterói/RJ, n. 1, 2003. Disponível em: &lt;</w:t>
      </w:r>
      <w:hyperlink r:id="rId12" w:history="1">
        <w:r w:rsidRPr="00505846">
          <w:rPr>
            <w:rStyle w:val="Hyperlink"/>
            <w:rFonts w:ascii="Times New Roman" w:hAnsi="Times New Roman" w:cs="Times New Roman"/>
            <w:color w:val="auto"/>
            <w:sz w:val="24"/>
            <w:szCs w:val="24"/>
            <w:u w:val="none"/>
          </w:rPr>
          <w:t>http://www.uff.br/trabalhonecessario</w:t>
        </w:r>
      </w:hyperlink>
      <w:r w:rsidRPr="00505846">
        <w:rPr>
          <w:rFonts w:ascii="Times New Roman" w:hAnsi="Times New Roman" w:cs="Times New Roman"/>
          <w:sz w:val="24"/>
          <w:szCs w:val="24"/>
        </w:rPr>
        <w:t>&gt;. Acesso: 04 set. 2013.</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COLOMBO, Irineu. </w:t>
      </w:r>
      <w:r w:rsidRPr="00505846">
        <w:rPr>
          <w:rFonts w:ascii="Times New Roman" w:hAnsi="Times New Roman" w:cs="Times New Roman"/>
          <w:b/>
          <w:bCs/>
          <w:sz w:val="24"/>
          <w:szCs w:val="24"/>
        </w:rPr>
        <w:t xml:space="preserve">Educação para um novo tempo: </w:t>
      </w:r>
      <w:r w:rsidRPr="00505846">
        <w:rPr>
          <w:rFonts w:ascii="Times New Roman" w:hAnsi="Times New Roman" w:cs="Times New Roman"/>
          <w:bCs/>
          <w:sz w:val="24"/>
          <w:szCs w:val="24"/>
        </w:rPr>
        <w:t>o Instituto Federal. Disponível em</w:t>
      </w:r>
      <w:r w:rsidRPr="00505846">
        <w:rPr>
          <w:rFonts w:ascii="Times New Roman" w:hAnsi="Times New Roman" w:cs="Times New Roman"/>
          <w:sz w:val="24"/>
          <w:szCs w:val="24"/>
        </w:rPr>
        <w:t>: &lt;</w:t>
      </w:r>
      <w:hyperlink r:id="rId13" w:history="1">
        <w:r w:rsidRPr="00505846">
          <w:rPr>
            <w:rStyle w:val="Hyperlink"/>
            <w:rFonts w:ascii="Times New Roman" w:hAnsi="Times New Roman" w:cs="Times New Roman"/>
            <w:color w:val="auto"/>
            <w:sz w:val="24"/>
            <w:szCs w:val="24"/>
            <w:u w:val="none"/>
          </w:rPr>
          <w:t>http://portal.mec.gov.br/index.php?option=com_content&amp;view=article&amp;id=14428&amp;Itemid=874</w:t>
        </w:r>
      </w:hyperlink>
      <w:r w:rsidRPr="00505846">
        <w:rPr>
          <w:rFonts w:ascii="Times New Roman" w:hAnsi="Times New Roman" w:cs="Times New Roman"/>
          <w:sz w:val="24"/>
          <w:szCs w:val="24"/>
        </w:rPr>
        <w:t>&gt;. Acesso: 28 ago. 2013.</w:t>
      </w:r>
    </w:p>
    <w:p w:rsidR="00505846" w:rsidRPr="00505846" w:rsidRDefault="00505846" w:rsidP="00505846">
      <w:pPr>
        <w:rPr>
          <w:rFonts w:ascii="Times New Roman" w:hAnsi="Times New Roman" w:cs="Times New Roman"/>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CUNHA, Luiz Antônio. Ensino Superior e Universidade no Brasil. </w:t>
      </w:r>
      <w:r w:rsidRPr="00505846">
        <w:rPr>
          <w:rFonts w:ascii="Times New Roman" w:hAnsi="Times New Roman" w:cs="Times New Roman"/>
          <w:iCs/>
          <w:sz w:val="24"/>
          <w:szCs w:val="24"/>
        </w:rPr>
        <w:t>In</w:t>
      </w:r>
      <w:r w:rsidRPr="00505846">
        <w:rPr>
          <w:rFonts w:ascii="Times New Roman" w:hAnsi="Times New Roman" w:cs="Times New Roman"/>
          <w:sz w:val="24"/>
          <w:szCs w:val="24"/>
        </w:rPr>
        <w:t xml:space="preserve">: Lopes, E.M.T. et al. </w:t>
      </w:r>
      <w:r w:rsidRPr="00505846">
        <w:rPr>
          <w:rFonts w:ascii="Times New Roman" w:hAnsi="Times New Roman" w:cs="Times New Roman"/>
          <w:b/>
          <w:bCs/>
          <w:sz w:val="24"/>
          <w:szCs w:val="24"/>
        </w:rPr>
        <w:t>500 anos de educação no Brasil.</w:t>
      </w:r>
      <w:r w:rsidRPr="00505846">
        <w:rPr>
          <w:rFonts w:ascii="Times New Roman" w:hAnsi="Times New Roman" w:cs="Times New Roman"/>
          <w:sz w:val="24"/>
          <w:szCs w:val="24"/>
        </w:rPr>
        <w:t xml:space="preserve"> 3 ed. Belo Horizonte: Autêntica, 2003. p. 151-204.</w:t>
      </w:r>
    </w:p>
    <w:p w:rsidR="00505846" w:rsidRDefault="00505846" w:rsidP="00505846">
      <w:pPr>
        <w:pStyle w:val="PargrafodaLista"/>
        <w:spacing w:after="0" w:line="240" w:lineRule="auto"/>
        <w:ind w:left="0"/>
        <w:jc w:val="both"/>
        <w:rPr>
          <w:rFonts w:ascii="Times New Roman" w:hAnsi="Times New Roman" w:cs="Times New Roman"/>
          <w:sz w:val="24"/>
          <w:szCs w:val="24"/>
          <w:lang w:val="pt-PT"/>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lang w:val="pt-PT"/>
        </w:rPr>
      </w:pPr>
      <w:r w:rsidRPr="00505846">
        <w:rPr>
          <w:rFonts w:ascii="Times New Roman" w:hAnsi="Times New Roman" w:cs="Times New Roman"/>
          <w:sz w:val="24"/>
          <w:szCs w:val="24"/>
          <w:lang w:val="pt-PT"/>
        </w:rPr>
        <w:t xml:space="preserve">DAGNINO, Renato; RIBEIRO, Núbia Moura; CYPRIANO, Alex. Reflexões para um debate sobre a orientação da rede dos Institutos Federais de Educação, Ciência e Tecnologia. In: BATISTA, Eraldo Leme; NOVAES, Henrique (Org.). </w:t>
      </w:r>
      <w:r w:rsidRPr="00505846">
        <w:rPr>
          <w:rFonts w:ascii="Times New Roman" w:hAnsi="Times New Roman" w:cs="Times New Roman"/>
          <w:b/>
          <w:sz w:val="24"/>
          <w:szCs w:val="24"/>
          <w:lang w:val="pt-PT"/>
        </w:rPr>
        <w:t>Trabalho, educação e social:</w:t>
      </w:r>
      <w:r w:rsidRPr="00505846">
        <w:rPr>
          <w:rFonts w:ascii="Times New Roman" w:hAnsi="Times New Roman" w:cs="Times New Roman"/>
          <w:sz w:val="24"/>
          <w:szCs w:val="24"/>
          <w:lang w:val="pt-PT"/>
        </w:rPr>
        <w:t xml:space="preserve"> as contradições do capital no século XXI. Bauru/SP: Canal 6, 2011. pp. 221-227.</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NEVES, Lúcia Maria Wanderley. Rumos históricos da organização privatista. In: NEVES, Lúcia Maria Wanderley (Org.). </w:t>
      </w:r>
      <w:r w:rsidRPr="00505846">
        <w:rPr>
          <w:rFonts w:ascii="Times New Roman" w:hAnsi="Times New Roman" w:cs="Times New Roman"/>
          <w:b/>
          <w:bCs/>
          <w:sz w:val="24"/>
          <w:szCs w:val="24"/>
        </w:rPr>
        <w:t xml:space="preserve">O </w:t>
      </w:r>
      <w:proofErr w:type="spellStart"/>
      <w:r w:rsidRPr="00505846">
        <w:rPr>
          <w:rFonts w:ascii="Times New Roman" w:hAnsi="Times New Roman" w:cs="Times New Roman"/>
          <w:b/>
          <w:bCs/>
          <w:sz w:val="24"/>
          <w:szCs w:val="24"/>
        </w:rPr>
        <w:t>empresariamento</w:t>
      </w:r>
      <w:proofErr w:type="spellEnd"/>
      <w:r w:rsidRPr="00505846">
        <w:rPr>
          <w:rFonts w:ascii="Times New Roman" w:hAnsi="Times New Roman" w:cs="Times New Roman"/>
          <w:b/>
          <w:bCs/>
          <w:sz w:val="24"/>
          <w:szCs w:val="24"/>
        </w:rPr>
        <w:t xml:space="preserve"> da educação:</w:t>
      </w:r>
      <w:r w:rsidRPr="00505846">
        <w:rPr>
          <w:rFonts w:ascii="Times New Roman" w:hAnsi="Times New Roman" w:cs="Times New Roman"/>
          <w:sz w:val="24"/>
          <w:szCs w:val="24"/>
        </w:rPr>
        <w:t xml:space="preserve"> novos contornos do Ensino Superior no Brasil dos anos 1990. São Paulo/SP: Xamã, 2002. p.179-220.</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NEVES, Lúcia Maria Wanderley. A sociedade civil como espaço estratégico de difusão da nova pedagogia da hegemonia. In: NEVES, Lúcia Maria Wanderley (Org.). </w:t>
      </w:r>
      <w:r w:rsidRPr="00505846">
        <w:rPr>
          <w:rFonts w:ascii="Times New Roman" w:hAnsi="Times New Roman" w:cs="Times New Roman"/>
          <w:b/>
          <w:sz w:val="24"/>
          <w:szCs w:val="24"/>
        </w:rPr>
        <w:t>A nova Pedagogia da Hegemonia:</w:t>
      </w:r>
      <w:r w:rsidRPr="00505846">
        <w:rPr>
          <w:rFonts w:ascii="Times New Roman" w:hAnsi="Times New Roman" w:cs="Times New Roman"/>
          <w:sz w:val="24"/>
          <w:szCs w:val="24"/>
        </w:rPr>
        <w:t xml:space="preserve"> estratégias do capital para educar o consenso. São Paulo/SP: Xamã, 2005, pp. 85-126. </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OTRANTO, Célia Regina. Criação e implantação dos Institutos federais de educação, Ciência e tecnologia – </w:t>
      </w:r>
      <w:proofErr w:type="spellStart"/>
      <w:r w:rsidRPr="00505846">
        <w:rPr>
          <w:rFonts w:ascii="Times New Roman" w:hAnsi="Times New Roman" w:cs="Times New Roman"/>
          <w:sz w:val="24"/>
          <w:szCs w:val="24"/>
        </w:rPr>
        <w:t>IFETs</w:t>
      </w:r>
      <w:proofErr w:type="spellEnd"/>
      <w:r w:rsidRPr="00505846">
        <w:rPr>
          <w:rFonts w:ascii="Times New Roman" w:hAnsi="Times New Roman" w:cs="Times New Roman"/>
          <w:sz w:val="24"/>
          <w:szCs w:val="24"/>
        </w:rPr>
        <w:t xml:space="preserve">. </w:t>
      </w:r>
      <w:r w:rsidRPr="00505846">
        <w:rPr>
          <w:rFonts w:ascii="Times New Roman" w:hAnsi="Times New Roman" w:cs="Times New Roman"/>
          <w:b/>
          <w:sz w:val="24"/>
          <w:szCs w:val="24"/>
        </w:rPr>
        <w:t>RETTA</w:t>
      </w:r>
      <w:r w:rsidRPr="00505846">
        <w:rPr>
          <w:rFonts w:ascii="Times New Roman" w:hAnsi="Times New Roman" w:cs="Times New Roman"/>
          <w:sz w:val="24"/>
          <w:szCs w:val="24"/>
        </w:rPr>
        <w:t xml:space="preserve">. Rio de Janeiro, v.01, n. 01, </w:t>
      </w:r>
      <w:proofErr w:type="gramStart"/>
      <w:r w:rsidRPr="00505846">
        <w:rPr>
          <w:rFonts w:ascii="Times New Roman" w:hAnsi="Times New Roman" w:cs="Times New Roman"/>
          <w:sz w:val="24"/>
          <w:szCs w:val="24"/>
        </w:rPr>
        <w:t>jan./</w:t>
      </w:r>
      <w:proofErr w:type="gramEnd"/>
      <w:r w:rsidRPr="00505846">
        <w:rPr>
          <w:rFonts w:ascii="Times New Roman" w:hAnsi="Times New Roman" w:cs="Times New Roman"/>
          <w:sz w:val="24"/>
          <w:szCs w:val="24"/>
        </w:rPr>
        <w:t>jun., 2010. pp. 89-108.</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PACHECO, Eliezer Moreira (Org.). </w:t>
      </w:r>
      <w:r w:rsidRPr="00505846">
        <w:rPr>
          <w:rFonts w:ascii="Times New Roman" w:hAnsi="Times New Roman" w:cs="Times New Roman"/>
          <w:b/>
          <w:sz w:val="24"/>
          <w:szCs w:val="24"/>
        </w:rPr>
        <w:t>Institutos Federais:</w:t>
      </w:r>
      <w:r w:rsidRPr="00505846">
        <w:rPr>
          <w:rFonts w:ascii="Times New Roman" w:hAnsi="Times New Roman" w:cs="Times New Roman"/>
          <w:sz w:val="24"/>
          <w:szCs w:val="24"/>
        </w:rPr>
        <w:t xml:space="preserve"> uma revolução na Educação profissional e Tecnológica. Brasília/DF, São Paulo/SP: Moderna, 2011.</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Pr="00505846" w:rsidRDefault="00505846" w:rsidP="00505846">
      <w:pPr>
        <w:pStyle w:val="PargrafodaLista"/>
        <w:spacing w:after="0" w:line="240" w:lineRule="auto"/>
        <w:ind w:left="0"/>
        <w:jc w:val="both"/>
        <w:rPr>
          <w:rFonts w:ascii="Times New Roman" w:hAnsi="Times New Roman" w:cs="Times New Roman"/>
          <w:bCs/>
          <w:sz w:val="24"/>
          <w:szCs w:val="24"/>
        </w:rPr>
      </w:pPr>
      <w:r w:rsidRPr="00505846">
        <w:rPr>
          <w:rFonts w:ascii="Times New Roman" w:hAnsi="Times New Roman" w:cs="Times New Roman"/>
          <w:sz w:val="24"/>
          <w:szCs w:val="24"/>
        </w:rPr>
        <w:t xml:space="preserve">PACHECO, Eliezer Moreira (Org.). </w:t>
      </w:r>
      <w:r w:rsidRPr="00505846">
        <w:rPr>
          <w:rFonts w:ascii="Times New Roman" w:hAnsi="Times New Roman" w:cs="Times New Roman"/>
          <w:b/>
          <w:bCs/>
          <w:sz w:val="24"/>
          <w:szCs w:val="24"/>
        </w:rPr>
        <w:t>Enfrentando a fata de mão-de-obra</w:t>
      </w:r>
      <w:r w:rsidRPr="00505846">
        <w:rPr>
          <w:rFonts w:ascii="Times New Roman" w:hAnsi="Times New Roman" w:cs="Times New Roman"/>
          <w:bCs/>
          <w:sz w:val="24"/>
          <w:szCs w:val="24"/>
        </w:rPr>
        <w:t>. Disponível em</w:t>
      </w:r>
      <w:r w:rsidRPr="00505846">
        <w:rPr>
          <w:rFonts w:ascii="Times New Roman" w:hAnsi="Times New Roman" w:cs="Times New Roman"/>
          <w:bCs/>
          <w:i/>
          <w:sz w:val="24"/>
          <w:szCs w:val="24"/>
        </w:rPr>
        <w:t>:</w:t>
      </w:r>
      <w:r w:rsidRPr="00505846">
        <w:rPr>
          <w:rFonts w:ascii="Times New Roman" w:hAnsi="Times New Roman" w:cs="Times New Roman"/>
          <w:b/>
          <w:bCs/>
          <w:sz w:val="24"/>
          <w:szCs w:val="24"/>
        </w:rPr>
        <w:t xml:space="preserve"> </w:t>
      </w:r>
      <w:r w:rsidRPr="00505846">
        <w:rPr>
          <w:rFonts w:ascii="Times New Roman" w:hAnsi="Times New Roman" w:cs="Times New Roman"/>
          <w:sz w:val="24"/>
          <w:szCs w:val="24"/>
        </w:rPr>
        <w:t>&lt;</w:t>
      </w:r>
      <w:hyperlink r:id="rId14" w:history="1">
        <w:r w:rsidRPr="00505846">
          <w:rPr>
            <w:rStyle w:val="Hyperlink"/>
            <w:rFonts w:ascii="Times New Roman" w:hAnsi="Times New Roman" w:cs="Times New Roman"/>
            <w:color w:val="auto"/>
            <w:sz w:val="24"/>
            <w:szCs w:val="24"/>
            <w:u w:val="none"/>
          </w:rPr>
          <w:t>http://portal.mec.gov.br/index.php?option=com_content&amp;view=article&amp;id=14428&amp;Itemid=874</w:t>
        </w:r>
      </w:hyperlink>
      <w:r w:rsidRPr="00505846">
        <w:rPr>
          <w:rFonts w:ascii="Times New Roman" w:hAnsi="Times New Roman" w:cs="Times New Roman"/>
          <w:sz w:val="24"/>
          <w:szCs w:val="24"/>
        </w:rPr>
        <w:t>&gt;. Acesso: 29 ago. 2013.</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PACHECO, Eliezer Moreira (Org.). </w:t>
      </w:r>
      <w:r w:rsidRPr="00505846">
        <w:rPr>
          <w:rFonts w:ascii="Times New Roman" w:hAnsi="Times New Roman" w:cs="Times New Roman"/>
          <w:b/>
          <w:bCs/>
          <w:sz w:val="24"/>
          <w:szCs w:val="24"/>
        </w:rPr>
        <w:t xml:space="preserve">Escolas técnicas e desenvolvimento. </w:t>
      </w:r>
      <w:r w:rsidRPr="00505846">
        <w:rPr>
          <w:rFonts w:ascii="Times New Roman" w:hAnsi="Times New Roman" w:cs="Times New Roman"/>
          <w:bCs/>
          <w:sz w:val="24"/>
          <w:szCs w:val="24"/>
        </w:rPr>
        <w:t>Disponível em</w:t>
      </w:r>
      <w:r w:rsidRPr="00505846">
        <w:rPr>
          <w:rFonts w:ascii="Times New Roman" w:hAnsi="Times New Roman" w:cs="Times New Roman"/>
          <w:bCs/>
          <w:i/>
          <w:sz w:val="24"/>
          <w:szCs w:val="24"/>
        </w:rPr>
        <w:t>:</w:t>
      </w:r>
      <w:r w:rsidRPr="00505846">
        <w:rPr>
          <w:rFonts w:ascii="Times New Roman" w:hAnsi="Times New Roman" w:cs="Times New Roman"/>
          <w:bCs/>
          <w:sz w:val="24"/>
          <w:szCs w:val="24"/>
        </w:rPr>
        <w:t xml:space="preserve"> </w:t>
      </w:r>
      <w:r w:rsidRPr="00505846">
        <w:rPr>
          <w:rFonts w:ascii="Times New Roman" w:hAnsi="Times New Roman" w:cs="Times New Roman"/>
          <w:sz w:val="24"/>
          <w:szCs w:val="24"/>
        </w:rPr>
        <w:t>&lt;</w:t>
      </w:r>
      <w:hyperlink r:id="rId15" w:history="1">
        <w:r w:rsidRPr="00505846">
          <w:rPr>
            <w:rStyle w:val="Hyperlink"/>
            <w:rFonts w:ascii="Times New Roman" w:hAnsi="Times New Roman" w:cs="Times New Roman"/>
            <w:color w:val="auto"/>
            <w:sz w:val="24"/>
            <w:szCs w:val="24"/>
            <w:u w:val="none"/>
          </w:rPr>
          <w:t>http://portal.mec.gov.br/index.php?option=com_content&amp;view=article&amp;id=14428&amp;Itemid=874</w:t>
        </w:r>
      </w:hyperlink>
      <w:r w:rsidRPr="00505846">
        <w:rPr>
          <w:rFonts w:ascii="Times New Roman" w:hAnsi="Times New Roman" w:cs="Times New Roman"/>
          <w:sz w:val="24"/>
          <w:szCs w:val="24"/>
        </w:rPr>
        <w:t>&gt;. Acesso: 29 ago. 2013.</w:t>
      </w:r>
    </w:p>
    <w:p w:rsidR="004E0DCD" w:rsidRPr="00505846" w:rsidRDefault="004E0DCD" w:rsidP="00505846">
      <w:pPr>
        <w:pStyle w:val="PargrafodaLista"/>
        <w:spacing w:after="0" w:line="240" w:lineRule="auto"/>
        <w:ind w:left="0"/>
        <w:jc w:val="both"/>
        <w:rPr>
          <w:rFonts w:ascii="Times New Roman" w:hAnsi="Times New Roman" w:cs="Times New Roman"/>
          <w:bCs/>
          <w:sz w:val="24"/>
          <w:szCs w:val="24"/>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PACHECO, Eliezer Moreira; PEREIRA, Luiz Augusto Caldas; DOMINGOS SOBRINHO, Moisés. Institutos Federais de Educação, Ciência e Tecnologia: limites e possibilidades. </w:t>
      </w:r>
      <w:r w:rsidRPr="00505846">
        <w:rPr>
          <w:rFonts w:ascii="Times New Roman" w:hAnsi="Times New Roman" w:cs="Times New Roman"/>
          <w:b/>
          <w:sz w:val="24"/>
          <w:szCs w:val="24"/>
        </w:rPr>
        <w:t>Linhas Críticas</w:t>
      </w:r>
      <w:r w:rsidRPr="00505846">
        <w:rPr>
          <w:rFonts w:ascii="Times New Roman" w:hAnsi="Times New Roman" w:cs="Times New Roman"/>
          <w:sz w:val="24"/>
          <w:szCs w:val="24"/>
        </w:rPr>
        <w:t xml:space="preserve">. Brasília/DF, v. 16, n. 30, p. 71-88, </w:t>
      </w:r>
      <w:proofErr w:type="gramStart"/>
      <w:r w:rsidRPr="00505846">
        <w:rPr>
          <w:rFonts w:ascii="Times New Roman" w:hAnsi="Times New Roman" w:cs="Times New Roman"/>
          <w:sz w:val="24"/>
          <w:szCs w:val="24"/>
        </w:rPr>
        <w:t>jan./</w:t>
      </w:r>
      <w:proofErr w:type="gramEnd"/>
      <w:r w:rsidRPr="00505846">
        <w:rPr>
          <w:rFonts w:ascii="Times New Roman" w:hAnsi="Times New Roman" w:cs="Times New Roman"/>
          <w:sz w:val="24"/>
          <w:szCs w:val="24"/>
        </w:rPr>
        <w:t>jun. 2010.</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PEREIRA, Luiz Augusto Caldas. </w:t>
      </w:r>
      <w:r w:rsidRPr="00505846">
        <w:rPr>
          <w:rFonts w:ascii="Times New Roman" w:hAnsi="Times New Roman" w:cs="Times New Roman"/>
          <w:b/>
          <w:sz w:val="24"/>
          <w:szCs w:val="24"/>
        </w:rPr>
        <w:t>A formação de professores e a capacitação de trabalhadores da Educação Profissional e Tecnológica</w:t>
      </w:r>
      <w:r w:rsidRPr="00505846">
        <w:rPr>
          <w:rFonts w:ascii="Times New Roman" w:hAnsi="Times New Roman" w:cs="Times New Roman"/>
          <w:sz w:val="24"/>
          <w:szCs w:val="24"/>
        </w:rPr>
        <w:t>. Disponível em</w:t>
      </w:r>
      <w:r w:rsidRPr="00505846">
        <w:rPr>
          <w:rFonts w:ascii="Times New Roman" w:hAnsi="Times New Roman" w:cs="Times New Roman"/>
          <w:bCs/>
          <w:i/>
          <w:sz w:val="24"/>
          <w:szCs w:val="24"/>
        </w:rPr>
        <w:t>:</w:t>
      </w:r>
      <w:r w:rsidRPr="00505846">
        <w:rPr>
          <w:rFonts w:ascii="Times New Roman" w:hAnsi="Times New Roman" w:cs="Times New Roman"/>
          <w:b/>
          <w:bCs/>
          <w:sz w:val="24"/>
          <w:szCs w:val="24"/>
        </w:rPr>
        <w:t xml:space="preserve"> </w:t>
      </w:r>
      <w:r w:rsidRPr="00505846">
        <w:rPr>
          <w:rFonts w:ascii="Times New Roman" w:hAnsi="Times New Roman" w:cs="Times New Roman"/>
          <w:sz w:val="24"/>
          <w:szCs w:val="24"/>
        </w:rPr>
        <w:t>&lt;</w:t>
      </w:r>
      <w:hyperlink r:id="rId16" w:history="1">
        <w:r w:rsidRPr="00505846">
          <w:rPr>
            <w:rStyle w:val="Hyperlink"/>
            <w:rFonts w:ascii="Times New Roman" w:hAnsi="Times New Roman" w:cs="Times New Roman"/>
            <w:color w:val="auto"/>
            <w:sz w:val="24"/>
            <w:szCs w:val="24"/>
            <w:u w:val="none"/>
          </w:rPr>
          <w:t>http://portal.mec.gov.br/index.php?option=com_content&amp;view=article&amp;id=14428&amp;Itemid=874</w:t>
        </w:r>
      </w:hyperlink>
      <w:r w:rsidRPr="00505846">
        <w:rPr>
          <w:rFonts w:ascii="Times New Roman" w:hAnsi="Times New Roman" w:cs="Times New Roman"/>
          <w:sz w:val="24"/>
          <w:szCs w:val="24"/>
        </w:rPr>
        <w:t>&gt;. Acesso: 28 ago. 2013.</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Pr="00505846" w:rsidRDefault="00505846" w:rsidP="00505846">
      <w:pPr>
        <w:pStyle w:val="PargrafodaLista"/>
        <w:spacing w:after="0" w:line="240" w:lineRule="auto"/>
        <w:ind w:left="0"/>
        <w:jc w:val="both"/>
        <w:rPr>
          <w:rFonts w:ascii="Times New Roman" w:eastAsia="SimHei" w:hAnsi="Times New Roman" w:cs="Times New Roman"/>
          <w:sz w:val="24"/>
          <w:szCs w:val="24"/>
        </w:rPr>
      </w:pPr>
      <w:r w:rsidRPr="00505846">
        <w:rPr>
          <w:rFonts w:ascii="Times New Roman" w:hAnsi="Times New Roman" w:cs="Times New Roman"/>
          <w:sz w:val="24"/>
          <w:szCs w:val="24"/>
        </w:rPr>
        <w:t xml:space="preserve">SAVIANI, </w:t>
      </w:r>
      <w:proofErr w:type="spellStart"/>
      <w:r w:rsidRPr="00505846">
        <w:rPr>
          <w:rFonts w:ascii="Times New Roman" w:hAnsi="Times New Roman" w:cs="Times New Roman"/>
          <w:sz w:val="24"/>
          <w:szCs w:val="24"/>
        </w:rPr>
        <w:t>Dermeval</w:t>
      </w:r>
      <w:proofErr w:type="spellEnd"/>
      <w:r w:rsidRPr="00505846">
        <w:rPr>
          <w:rFonts w:ascii="Times New Roman" w:hAnsi="Times New Roman" w:cs="Times New Roman"/>
          <w:sz w:val="24"/>
          <w:szCs w:val="24"/>
        </w:rPr>
        <w:t xml:space="preserve">. </w:t>
      </w:r>
      <w:r w:rsidRPr="00505846">
        <w:rPr>
          <w:rFonts w:ascii="Times New Roman" w:eastAsia="SimHei" w:hAnsi="Times New Roman" w:cs="Times New Roman"/>
          <w:b/>
          <w:sz w:val="24"/>
          <w:szCs w:val="24"/>
        </w:rPr>
        <w:t xml:space="preserve">PDE – Plano de Desenvolvimento da Educação: </w:t>
      </w:r>
      <w:r w:rsidRPr="00505846">
        <w:rPr>
          <w:rFonts w:ascii="Times New Roman" w:eastAsia="SimHei" w:hAnsi="Times New Roman" w:cs="Times New Roman"/>
          <w:sz w:val="24"/>
          <w:szCs w:val="24"/>
        </w:rPr>
        <w:t>Análise crítica da política do MEC. Campinas/SP: Autores Associados, 2009.</w:t>
      </w:r>
    </w:p>
    <w:p w:rsidR="00505846" w:rsidRDefault="00505846" w:rsidP="00505846">
      <w:pPr>
        <w:pStyle w:val="PargrafodaLista"/>
        <w:spacing w:after="0" w:line="240" w:lineRule="auto"/>
        <w:ind w:left="0"/>
        <w:jc w:val="both"/>
        <w:rPr>
          <w:rFonts w:ascii="Times New Roman" w:hAnsi="Times New Roman" w:cs="Times New Roman"/>
          <w:sz w:val="24"/>
          <w:szCs w:val="24"/>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sz w:val="24"/>
          <w:szCs w:val="24"/>
        </w:rPr>
        <w:t xml:space="preserve">SILVA, Caetana Juracy Resende. </w:t>
      </w:r>
      <w:r w:rsidRPr="00505846">
        <w:rPr>
          <w:rFonts w:ascii="Times New Roman" w:hAnsi="Times New Roman" w:cs="Times New Roman"/>
          <w:b/>
          <w:sz w:val="24"/>
          <w:szCs w:val="24"/>
        </w:rPr>
        <w:t>Institutos Federais – Lei 11.982 de 29 de novembro de 2008:</w:t>
      </w:r>
      <w:r w:rsidRPr="00505846">
        <w:rPr>
          <w:rFonts w:ascii="Times New Roman" w:hAnsi="Times New Roman" w:cs="Times New Roman"/>
          <w:sz w:val="24"/>
          <w:szCs w:val="24"/>
        </w:rPr>
        <w:t xml:space="preserve"> comentários e reflexões. Natal/RN: IFRN, 2009.</w:t>
      </w:r>
    </w:p>
    <w:p w:rsidR="00505846" w:rsidRDefault="00505846" w:rsidP="00505846">
      <w:pPr>
        <w:pStyle w:val="PargrafodaLista"/>
        <w:spacing w:after="0" w:line="240" w:lineRule="auto"/>
        <w:ind w:left="0"/>
        <w:jc w:val="both"/>
        <w:rPr>
          <w:rFonts w:ascii="Times New Roman" w:hAnsi="Times New Roman" w:cs="Times New Roman"/>
          <w:bCs/>
          <w:sz w:val="24"/>
          <w:szCs w:val="24"/>
        </w:rPr>
      </w:pPr>
    </w:p>
    <w:p w:rsidR="00505846" w:rsidRPr="00505846" w:rsidRDefault="00505846" w:rsidP="00505846">
      <w:pPr>
        <w:pStyle w:val="PargrafodaLista"/>
        <w:spacing w:after="0" w:line="240" w:lineRule="auto"/>
        <w:ind w:left="0"/>
        <w:jc w:val="both"/>
        <w:rPr>
          <w:rFonts w:ascii="Times New Roman" w:hAnsi="Times New Roman" w:cs="Times New Roman"/>
          <w:sz w:val="24"/>
          <w:szCs w:val="24"/>
        </w:rPr>
      </w:pPr>
      <w:r w:rsidRPr="00505846">
        <w:rPr>
          <w:rFonts w:ascii="Times New Roman" w:hAnsi="Times New Roman" w:cs="Times New Roman"/>
          <w:bCs/>
          <w:sz w:val="24"/>
          <w:szCs w:val="24"/>
        </w:rPr>
        <w:t xml:space="preserve">SOBRINHO, Moisés Domingos. </w:t>
      </w:r>
      <w:r w:rsidRPr="00505846">
        <w:rPr>
          <w:rFonts w:ascii="Times New Roman" w:hAnsi="Times New Roman" w:cs="Times New Roman"/>
          <w:b/>
          <w:bCs/>
          <w:sz w:val="24"/>
          <w:szCs w:val="24"/>
        </w:rPr>
        <w:t xml:space="preserve">Universidade Tecnológica ou Instituto Federal de Educação, Ciência e Tecnologia? </w:t>
      </w:r>
      <w:r w:rsidRPr="00505846">
        <w:rPr>
          <w:rFonts w:ascii="Times New Roman" w:hAnsi="Times New Roman" w:cs="Times New Roman"/>
          <w:bCs/>
          <w:sz w:val="24"/>
          <w:szCs w:val="24"/>
        </w:rPr>
        <w:t>Disponível em</w:t>
      </w:r>
      <w:r w:rsidRPr="00505846">
        <w:rPr>
          <w:rFonts w:ascii="Times New Roman" w:hAnsi="Times New Roman" w:cs="Times New Roman"/>
          <w:bCs/>
          <w:i/>
          <w:sz w:val="24"/>
          <w:szCs w:val="24"/>
        </w:rPr>
        <w:t>:</w:t>
      </w:r>
      <w:r w:rsidRPr="00505846">
        <w:rPr>
          <w:rFonts w:ascii="Times New Roman" w:hAnsi="Times New Roman" w:cs="Times New Roman"/>
          <w:b/>
          <w:bCs/>
          <w:sz w:val="24"/>
          <w:szCs w:val="24"/>
        </w:rPr>
        <w:t xml:space="preserve"> </w:t>
      </w:r>
      <w:r w:rsidRPr="00505846">
        <w:rPr>
          <w:rFonts w:ascii="Times New Roman" w:hAnsi="Times New Roman" w:cs="Times New Roman"/>
          <w:sz w:val="24"/>
          <w:szCs w:val="24"/>
        </w:rPr>
        <w:t>&lt;</w:t>
      </w:r>
      <w:hyperlink r:id="rId17" w:history="1">
        <w:r w:rsidRPr="00505846">
          <w:rPr>
            <w:rStyle w:val="Hyperlink"/>
            <w:rFonts w:ascii="Times New Roman" w:hAnsi="Times New Roman" w:cs="Times New Roman"/>
            <w:color w:val="auto"/>
            <w:sz w:val="24"/>
            <w:szCs w:val="24"/>
            <w:u w:val="none"/>
          </w:rPr>
          <w:t>http://portal.mec.gov.br/index.php?option=com_content&amp;view=article&amp;id=14428&amp;Itemid=874</w:t>
        </w:r>
      </w:hyperlink>
      <w:r w:rsidRPr="00505846">
        <w:rPr>
          <w:rFonts w:ascii="Times New Roman" w:hAnsi="Times New Roman" w:cs="Times New Roman"/>
          <w:sz w:val="24"/>
          <w:szCs w:val="24"/>
        </w:rPr>
        <w:t>&gt;. Acesso: 28 ago. 2013.</w:t>
      </w:r>
    </w:p>
    <w:p w:rsidR="001A336E" w:rsidRPr="00505846" w:rsidRDefault="001A336E" w:rsidP="003036E4">
      <w:pPr>
        <w:jc w:val="both"/>
        <w:rPr>
          <w:rFonts w:ascii="Times New Roman" w:hAnsi="Times New Roman" w:cs="Times New Roman"/>
          <w:b/>
        </w:rPr>
      </w:pPr>
    </w:p>
    <w:sectPr w:rsidR="001A336E" w:rsidRPr="00505846" w:rsidSect="000E524E">
      <w:headerReference w:type="default" r:id="rId18"/>
      <w:footerReference w:type="default" r:id="rId19"/>
      <w:pgSz w:w="11906" w:h="16838"/>
      <w:pgMar w:top="1701" w:right="1418" w:bottom="1418" w:left="1701" w:header="0"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2B5" w:rsidRDefault="005102B5" w:rsidP="008035B6">
      <w:r>
        <w:separator/>
      </w:r>
    </w:p>
  </w:endnote>
  <w:endnote w:type="continuationSeparator" w:id="0">
    <w:p w:rsidR="005102B5" w:rsidRDefault="005102B5" w:rsidP="0080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font292">
    <w:altName w:val="Times New Roman"/>
    <w:charset w:val="01"/>
    <w:family w:val="auto"/>
    <w:pitch w:val="variable"/>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B26" w:rsidRDefault="002A7B26" w:rsidP="00F65E3C">
    <w:pPr>
      <w:pStyle w:val="Rodap"/>
      <w:ind w:hanging="993"/>
    </w:pPr>
    <w:r>
      <w:rPr>
        <w:noProof/>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2B5" w:rsidRDefault="005102B5" w:rsidP="008035B6">
      <w:r>
        <w:separator/>
      </w:r>
    </w:p>
  </w:footnote>
  <w:footnote w:type="continuationSeparator" w:id="0">
    <w:p w:rsidR="005102B5" w:rsidRDefault="005102B5" w:rsidP="008035B6">
      <w:r>
        <w:continuationSeparator/>
      </w:r>
    </w:p>
  </w:footnote>
  <w:footnote w:id="1">
    <w:p w:rsidR="002A7B26" w:rsidRPr="008808DD" w:rsidRDefault="002A7B26" w:rsidP="008808DD">
      <w:pPr>
        <w:pStyle w:val="NormalWeb"/>
        <w:spacing w:before="0" w:after="0"/>
        <w:jc w:val="both"/>
        <w:rPr>
          <w:rFonts w:ascii="Times New Roman" w:eastAsia="SimHei" w:hAnsi="Times New Roman" w:cs="Times New Roman"/>
          <w:sz w:val="20"/>
          <w:szCs w:val="20"/>
        </w:rPr>
      </w:pPr>
      <w:r w:rsidRPr="008808DD">
        <w:rPr>
          <w:rStyle w:val="Refdenotaderodap"/>
          <w:rFonts w:ascii="Times New Roman" w:hAnsi="Times New Roman" w:cs="Times New Roman"/>
          <w:sz w:val="20"/>
          <w:szCs w:val="20"/>
        </w:rPr>
        <w:footnoteRef/>
      </w:r>
      <w:r w:rsidRPr="008808DD">
        <w:rPr>
          <w:rFonts w:ascii="Times New Roman" w:hAnsi="Times New Roman" w:cs="Times New Roman"/>
          <w:sz w:val="20"/>
          <w:szCs w:val="20"/>
        </w:rPr>
        <w:t xml:space="preserve"> Nesta mesma data, o</w:t>
      </w:r>
      <w:r w:rsidRPr="008808DD">
        <w:rPr>
          <w:rFonts w:ascii="Times New Roman" w:eastAsia="SimHei" w:hAnsi="Times New Roman" w:cs="Times New Roman"/>
          <w:sz w:val="20"/>
          <w:szCs w:val="20"/>
        </w:rPr>
        <w:t xml:space="preserve"> PDE contemplou a educação tecnológica e profissional através de três iniciativas: a</w:t>
      </w:r>
      <w:proofErr w:type="gramStart"/>
      <w:r w:rsidRPr="008808DD">
        <w:rPr>
          <w:rFonts w:ascii="Times New Roman" w:eastAsia="SimHei" w:hAnsi="Times New Roman" w:cs="Times New Roman"/>
          <w:sz w:val="20"/>
          <w:szCs w:val="20"/>
        </w:rPr>
        <w:t>) Reorganizar</w:t>
      </w:r>
      <w:proofErr w:type="gramEnd"/>
      <w:r w:rsidRPr="008808DD">
        <w:rPr>
          <w:rFonts w:ascii="Times New Roman" w:eastAsia="SimHei" w:hAnsi="Times New Roman" w:cs="Times New Roman"/>
          <w:sz w:val="20"/>
          <w:szCs w:val="20"/>
        </w:rPr>
        <w:t xml:space="preserve"> a rede federal de escolas técnicas, integrando nos </w:t>
      </w:r>
      <w:proofErr w:type="spellStart"/>
      <w:r w:rsidRPr="008808DD">
        <w:rPr>
          <w:rFonts w:ascii="Times New Roman" w:eastAsia="SimHei" w:hAnsi="Times New Roman" w:cs="Times New Roman"/>
          <w:sz w:val="20"/>
          <w:szCs w:val="20"/>
        </w:rPr>
        <w:t>Ifets</w:t>
      </w:r>
      <w:proofErr w:type="spellEnd"/>
      <w:r w:rsidRPr="008808DD">
        <w:rPr>
          <w:rFonts w:ascii="Times New Roman" w:eastAsia="SimHei" w:hAnsi="Times New Roman" w:cs="Times New Roman"/>
          <w:sz w:val="20"/>
          <w:szCs w:val="20"/>
        </w:rPr>
        <w:t xml:space="preserve">; b) Novos concursos públicos e; c) Cidades-Polo: abertura de 150 escolas federais, elevando para 350 o número de unidades. O Plano também enfatiza que os </w:t>
      </w:r>
      <w:proofErr w:type="spellStart"/>
      <w:r w:rsidRPr="008808DD">
        <w:rPr>
          <w:rFonts w:ascii="Times New Roman" w:eastAsia="SimHei" w:hAnsi="Times New Roman" w:cs="Times New Roman"/>
          <w:sz w:val="20"/>
          <w:szCs w:val="20"/>
        </w:rPr>
        <w:t>Ifets</w:t>
      </w:r>
      <w:proofErr w:type="spellEnd"/>
      <w:r w:rsidRPr="008808DD">
        <w:rPr>
          <w:rFonts w:ascii="Times New Roman" w:eastAsia="SimHei" w:hAnsi="Times New Roman" w:cs="Times New Roman"/>
          <w:sz w:val="20"/>
          <w:szCs w:val="20"/>
        </w:rPr>
        <w:t xml:space="preserve"> são modelos de educação profissional e tecnológica (SAVIANI,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D6E" w:rsidRDefault="001E5D6E">
    <w:pPr>
      <w:pStyle w:val="Cabealho"/>
      <w:jc w:val="right"/>
    </w:pPr>
  </w:p>
  <w:p w:rsidR="002A7B26" w:rsidRPr="003313E9" w:rsidRDefault="002A7B26" w:rsidP="00F65E3C">
    <w:pPr>
      <w:pStyle w:val="Cabealho"/>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color w:val="00000A"/>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Arial" w:hAnsi="Arial" w:cs="Arial"/>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Arial" w:hAnsi="Arial" w:cs="Arial"/>
        <w:color w:val="00000A"/>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Arial" w:hAnsi="Arial" w:cs="Arial"/>
        <w:color w:val="00000A"/>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Arial" w:hAnsi="Arial" w:cs="Arial"/>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B"/>
    <w:multiLevelType w:val="multilevel"/>
    <w:tmpl w:val="0000000B"/>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C"/>
    <w:multiLevelType w:val="multilevel"/>
    <w:tmpl w:val="0000000C"/>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Arial" w:hAnsi="Arial" w:cs="Arial" w:hint="default"/>
        <w:color w:val="00000A"/>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Arial" w:hAnsi="Arial" w:cs="Arial"/>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00000010"/>
    <w:name w:val="WW8Num16"/>
    <w:lvl w:ilvl="0">
      <w:start w:val="1"/>
      <w:numFmt w:val="decimal"/>
      <w:lvlText w:val="%1)"/>
      <w:lvlJc w:val="left"/>
      <w:pPr>
        <w:tabs>
          <w:tab w:val="num" w:pos="0"/>
        </w:tabs>
        <w:ind w:left="720" w:hanging="360"/>
      </w:pPr>
      <w:rPr>
        <w:rFonts w:ascii="Arial" w:hAnsi="Arial" w:cs="Arial"/>
        <w:color w:val="00000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1"/>
    <w:multiLevelType w:val="multilevel"/>
    <w:tmpl w:val="00000011"/>
    <w:name w:val="WW8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2"/>
    <w:multiLevelType w:val="multilevel"/>
    <w:tmpl w:val="00000012"/>
    <w:name w:val="WW8Num18"/>
    <w:lvl w:ilvl="0">
      <w:start w:val="1"/>
      <w:numFmt w:val="decimal"/>
      <w:lvlText w:val="%1)"/>
      <w:lvlJc w:val="left"/>
      <w:pPr>
        <w:tabs>
          <w:tab w:val="num" w:pos="0"/>
        </w:tabs>
        <w:ind w:left="720" w:hanging="360"/>
      </w:pPr>
      <w:rPr>
        <w:rFonts w:ascii="Arial" w:hAnsi="Arial" w:cs="Arial"/>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4"/>
    <w:multiLevelType w:val="multilevel"/>
    <w:tmpl w:val="00000014"/>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5"/>
    <w:multiLevelType w:val="multilevel"/>
    <w:tmpl w:val="00000015"/>
    <w:name w:val="WW8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6"/>
    <w:multiLevelType w:val="multilevel"/>
    <w:tmpl w:val="00000016"/>
    <w:name w:val="WW8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7"/>
    <w:multiLevelType w:val="multilevel"/>
    <w:tmpl w:val="00000017"/>
    <w:name w:val="WW8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0"/>
        </w:tabs>
        <w:ind w:left="720" w:hanging="360"/>
      </w:pPr>
      <w:rPr>
        <w:rFonts w:ascii="Arial" w:hAnsi="Arial" w:cs="font292"/>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9"/>
    <w:multiLevelType w:val="multilevel"/>
    <w:tmpl w:val="00000019"/>
    <w:name w:val="WW8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A"/>
    <w:multiLevelType w:val="multilevel"/>
    <w:tmpl w:val="0000001A"/>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B"/>
    <w:multiLevelType w:val="multilevel"/>
    <w:tmpl w:val="0000001B"/>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C"/>
    <w:multiLevelType w:val="multilevel"/>
    <w:tmpl w:val="0000001C"/>
    <w:name w:val="WW8Num28"/>
    <w:lvl w:ilvl="0">
      <w:start w:val="1"/>
      <w:numFmt w:val="decimal"/>
      <w:lvlText w:val="%1)"/>
      <w:lvlJc w:val="left"/>
      <w:pPr>
        <w:tabs>
          <w:tab w:val="num" w:pos="0"/>
        </w:tabs>
        <w:ind w:left="720" w:hanging="360"/>
      </w:pPr>
      <w:rPr>
        <w:rFonts w:ascii="Arial" w:hAnsi="Arial" w:cs="font292"/>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1D"/>
    <w:multiLevelType w:val="multilevel"/>
    <w:tmpl w:val="0000001D"/>
    <w:name w:val="WW8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0000001E"/>
    <w:multiLevelType w:val="multilevel"/>
    <w:tmpl w:val="0000001E"/>
    <w:name w:val="WW8Num30"/>
    <w:lvl w:ilvl="0">
      <w:start w:val="1"/>
      <w:numFmt w:val="decimal"/>
      <w:lvlText w:val="%1)"/>
      <w:lvlJc w:val="left"/>
      <w:pPr>
        <w:tabs>
          <w:tab w:val="num" w:pos="0"/>
        </w:tabs>
        <w:ind w:left="825" w:hanging="46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1F"/>
    <w:multiLevelType w:val="multilevel"/>
    <w:tmpl w:val="0000001F"/>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20"/>
    <w:multiLevelType w:val="multilevel"/>
    <w:tmpl w:val="00000020"/>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1"/>
    <w:multiLevelType w:val="multilevel"/>
    <w:tmpl w:val="00000021"/>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0000022"/>
    <w:multiLevelType w:val="multilevel"/>
    <w:tmpl w:val="00000022"/>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3"/>
    <w:multiLevelType w:val="multilevel"/>
    <w:tmpl w:val="00000023"/>
    <w:name w:val="WW8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4"/>
    <w:multiLevelType w:val="multilevel"/>
    <w:tmpl w:val="00000024"/>
    <w:name w:val="WW8Num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0000025"/>
    <w:multiLevelType w:val="multilevel"/>
    <w:tmpl w:val="00000025"/>
    <w:name w:val="WW8Num3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26"/>
    <w:multiLevelType w:val="multilevel"/>
    <w:tmpl w:val="00000026"/>
    <w:name w:val="WW8Num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00000027"/>
    <w:multiLevelType w:val="singleLevel"/>
    <w:tmpl w:val="00000027"/>
    <w:name w:val="WW8Num39"/>
    <w:lvl w:ilvl="0">
      <w:start w:val="5"/>
      <w:numFmt w:val="decimal"/>
      <w:lvlText w:val="%1."/>
      <w:lvlJc w:val="left"/>
      <w:pPr>
        <w:tabs>
          <w:tab w:val="num" w:pos="0"/>
        </w:tabs>
        <w:ind w:left="720" w:hanging="360"/>
      </w:pPr>
      <w:rPr>
        <w:rFonts w:ascii="Times New Roman" w:eastAsia="Times New Roman" w:hAnsi="Times New Roman" w:cs="Arial" w:hint="default"/>
        <w:b/>
        <w:color w:val="auto"/>
        <w:szCs w:val="24"/>
      </w:rPr>
    </w:lvl>
  </w:abstractNum>
  <w:abstractNum w:abstractNumId="38" w15:restartNumberingAfterBreak="0">
    <w:nsid w:val="45B2785B"/>
    <w:multiLevelType w:val="hybridMultilevel"/>
    <w:tmpl w:val="8B1636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7DB544C"/>
    <w:multiLevelType w:val="multilevel"/>
    <w:tmpl w:val="835CCBA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revisionView w:inkAnnotations="0"/>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5B6"/>
    <w:rsid w:val="00034DC3"/>
    <w:rsid w:val="000416DE"/>
    <w:rsid w:val="00081FE5"/>
    <w:rsid w:val="00084E7A"/>
    <w:rsid w:val="000E1443"/>
    <w:rsid w:val="000E1A4C"/>
    <w:rsid w:val="000E480A"/>
    <w:rsid w:val="000E524E"/>
    <w:rsid w:val="001045AA"/>
    <w:rsid w:val="00115BFF"/>
    <w:rsid w:val="00133B93"/>
    <w:rsid w:val="001353E0"/>
    <w:rsid w:val="00141583"/>
    <w:rsid w:val="001A336E"/>
    <w:rsid w:val="001A7DB7"/>
    <w:rsid w:val="001B2EF8"/>
    <w:rsid w:val="001C0372"/>
    <w:rsid w:val="001E5D6E"/>
    <w:rsid w:val="001E71E8"/>
    <w:rsid w:val="00215D1E"/>
    <w:rsid w:val="00217075"/>
    <w:rsid w:val="00247BD7"/>
    <w:rsid w:val="00252633"/>
    <w:rsid w:val="002663D4"/>
    <w:rsid w:val="002706BF"/>
    <w:rsid w:val="00272370"/>
    <w:rsid w:val="002A618F"/>
    <w:rsid w:val="002A7B26"/>
    <w:rsid w:val="002B23B6"/>
    <w:rsid w:val="002C4253"/>
    <w:rsid w:val="002C5F75"/>
    <w:rsid w:val="0030011C"/>
    <w:rsid w:val="003036E4"/>
    <w:rsid w:val="003313E9"/>
    <w:rsid w:val="00333584"/>
    <w:rsid w:val="0033571C"/>
    <w:rsid w:val="0034146D"/>
    <w:rsid w:val="00353D5B"/>
    <w:rsid w:val="00367AA8"/>
    <w:rsid w:val="003920CA"/>
    <w:rsid w:val="003A4EAC"/>
    <w:rsid w:val="003A5437"/>
    <w:rsid w:val="003B3B46"/>
    <w:rsid w:val="003E4093"/>
    <w:rsid w:val="003E5E21"/>
    <w:rsid w:val="003E756F"/>
    <w:rsid w:val="0040314A"/>
    <w:rsid w:val="00404D03"/>
    <w:rsid w:val="00415C7B"/>
    <w:rsid w:val="00430042"/>
    <w:rsid w:val="004430C4"/>
    <w:rsid w:val="00447EC3"/>
    <w:rsid w:val="004570FA"/>
    <w:rsid w:val="00460617"/>
    <w:rsid w:val="00473F2C"/>
    <w:rsid w:val="00476E69"/>
    <w:rsid w:val="00497E33"/>
    <w:rsid w:val="004B54B5"/>
    <w:rsid w:val="004C6848"/>
    <w:rsid w:val="004E0DCD"/>
    <w:rsid w:val="00505846"/>
    <w:rsid w:val="005102B5"/>
    <w:rsid w:val="00513EBB"/>
    <w:rsid w:val="00515324"/>
    <w:rsid w:val="005161D6"/>
    <w:rsid w:val="00526115"/>
    <w:rsid w:val="0053053D"/>
    <w:rsid w:val="005415AF"/>
    <w:rsid w:val="005606EB"/>
    <w:rsid w:val="00562D79"/>
    <w:rsid w:val="00583873"/>
    <w:rsid w:val="005A6C1C"/>
    <w:rsid w:val="005A6FE9"/>
    <w:rsid w:val="005C2FE0"/>
    <w:rsid w:val="0061569B"/>
    <w:rsid w:val="00631A81"/>
    <w:rsid w:val="00643C22"/>
    <w:rsid w:val="0065700A"/>
    <w:rsid w:val="006823C0"/>
    <w:rsid w:val="0069049E"/>
    <w:rsid w:val="00691649"/>
    <w:rsid w:val="00695108"/>
    <w:rsid w:val="006D35C1"/>
    <w:rsid w:val="006E2342"/>
    <w:rsid w:val="006F1E2B"/>
    <w:rsid w:val="006F5DE8"/>
    <w:rsid w:val="007131B7"/>
    <w:rsid w:val="00721156"/>
    <w:rsid w:val="00735DF2"/>
    <w:rsid w:val="00760AE0"/>
    <w:rsid w:val="00765F78"/>
    <w:rsid w:val="00774DB4"/>
    <w:rsid w:val="007C0E03"/>
    <w:rsid w:val="007C5CBE"/>
    <w:rsid w:val="007D442E"/>
    <w:rsid w:val="007E3B4A"/>
    <w:rsid w:val="007E44EA"/>
    <w:rsid w:val="00801B95"/>
    <w:rsid w:val="008035B6"/>
    <w:rsid w:val="008070D1"/>
    <w:rsid w:val="008121D9"/>
    <w:rsid w:val="00817550"/>
    <w:rsid w:val="00821712"/>
    <w:rsid w:val="00862574"/>
    <w:rsid w:val="008808DD"/>
    <w:rsid w:val="008B0E1F"/>
    <w:rsid w:val="00900413"/>
    <w:rsid w:val="00903312"/>
    <w:rsid w:val="009056C4"/>
    <w:rsid w:val="0093208E"/>
    <w:rsid w:val="0094476E"/>
    <w:rsid w:val="00965636"/>
    <w:rsid w:val="009E42B1"/>
    <w:rsid w:val="009E68F1"/>
    <w:rsid w:val="00A2227C"/>
    <w:rsid w:val="00A33F22"/>
    <w:rsid w:val="00A359E6"/>
    <w:rsid w:val="00A855FC"/>
    <w:rsid w:val="00A86C1C"/>
    <w:rsid w:val="00AC31DE"/>
    <w:rsid w:val="00AF2C1D"/>
    <w:rsid w:val="00B0667C"/>
    <w:rsid w:val="00B12389"/>
    <w:rsid w:val="00B26964"/>
    <w:rsid w:val="00B40298"/>
    <w:rsid w:val="00B854C6"/>
    <w:rsid w:val="00B9428C"/>
    <w:rsid w:val="00BA23CF"/>
    <w:rsid w:val="00BA6A23"/>
    <w:rsid w:val="00BB234A"/>
    <w:rsid w:val="00BB6F6E"/>
    <w:rsid w:val="00BC4A6A"/>
    <w:rsid w:val="00BD51B9"/>
    <w:rsid w:val="00BE14FA"/>
    <w:rsid w:val="00BE1681"/>
    <w:rsid w:val="00BF19A9"/>
    <w:rsid w:val="00C21DE0"/>
    <w:rsid w:val="00C648FA"/>
    <w:rsid w:val="00CA4922"/>
    <w:rsid w:val="00CC7F47"/>
    <w:rsid w:val="00CE392A"/>
    <w:rsid w:val="00CF3A94"/>
    <w:rsid w:val="00D00457"/>
    <w:rsid w:val="00D15FB8"/>
    <w:rsid w:val="00D235FD"/>
    <w:rsid w:val="00D45D6E"/>
    <w:rsid w:val="00D635A6"/>
    <w:rsid w:val="00D7176D"/>
    <w:rsid w:val="00DB60D3"/>
    <w:rsid w:val="00E13DFF"/>
    <w:rsid w:val="00E54E40"/>
    <w:rsid w:val="00EA4258"/>
    <w:rsid w:val="00EB08C7"/>
    <w:rsid w:val="00EB3E08"/>
    <w:rsid w:val="00EC5AFF"/>
    <w:rsid w:val="00ED53AE"/>
    <w:rsid w:val="00EE29FC"/>
    <w:rsid w:val="00F202D9"/>
    <w:rsid w:val="00F41160"/>
    <w:rsid w:val="00F42609"/>
    <w:rsid w:val="00F441F1"/>
    <w:rsid w:val="00F57956"/>
    <w:rsid w:val="00F65E3C"/>
    <w:rsid w:val="00F86622"/>
    <w:rsid w:val="00F91AA8"/>
    <w:rsid w:val="00FE5A2C"/>
    <w:rsid w:val="00FF18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DF7339"/>
  <w15:docId w15:val="{5C93DE83-D2E6-4D65-883A-6EB6E653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5B6"/>
    <w:pPr>
      <w:spacing w:after="0" w:line="240" w:lineRule="auto"/>
    </w:pPr>
    <w:rPr>
      <w:rFonts w:ascii="Arial" w:eastAsia="Times New Roman" w:hAnsi="Arial" w:cs="Arial"/>
      <w:sz w:val="24"/>
      <w:szCs w:val="24"/>
      <w:lang w:eastAsia="pt-BR"/>
    </w:rPr>
  </w:style>
  <w:style w:type="paragraph" w:styleId="Ttulo1">
    <w:name w:val="heading 1"/>
    <w:aliases w:val="Título de la Comunicación"/>
    <w:basedOn w:val="Normal"/>
    <w:next w:val="Normal"/>
    <w:link w:val="Ttulo1Char"/>
    <w:qFormat/>
    <w:rsid w:val="008035B6"/>
    <w:pPr>
      <w:keepNext/>
      <w:keepLines/>
      <w:spacing w:before="360" w:after="240" w:line="360" w:lineRule="auto"/>
      <w:jc w:val="both"/>
      <w:outlineLvl w:val="0"/>
    </w:pPr>
    <w:rPr>
      <w:rFonts w:eastAsia="Calibri" w:cs="Times New Roman"/>
      <w:caps/>
      <w:color w:val="595959"/>
      <w:sz w:val="28"/>
      <w:szCs w:val="28"/>
      <w:lang w:val="x-none" w:eastAsia="x-none"/>
    </w:rPr>
  </w:style>
  <w:style w:type="paragraph" w:styleId="Ttulo3">
    <w:name w:val="heading 3"/>
    <w:basedOn w:val="Normal"/>
    <w:next w:val="Normal"/>
    <w:link w:val="Ttulo3Char"/>
    <w:unhideWhenUsed/>
    <w:qFormat/>
    <w:rsid w:val="00F91A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8035B6"/>
    <w:pPr>
      <w:keepNext/>
      <w:spacing w:before="240" w:after="60" w:line="276" w:lineRule="auto"/>
      <w:jc w:val="both"/>
      <w:outlineLvl w:val="3"/>
    </w:pPr>
    <w:rPr>
      <w:rFonts w:ascii="Calibri" w:hAnsi="Calibri" w:cs="Times New Roman"/>
      <w:b/>
      <w:bCs/>
      <w:sz w:val="28"/>
      <w:szCs w:val="28"/>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de la Comunicación Char"/>
    <w:basedOn w:val="Fontepargpadro"/>
    <w:link w:val="Ttulo1"/>
    <w:rsid w:val="008035B6"/>
    <w:rPr>
      <w:rFonts w:ascii="Arial" w:eastAsia="Calibri" w:hAnsi="Arial" w:cs="Times New Roman"/>
      <w:caps/>
      <w:color w:val="595959"/>
      <w:sz w:val="28"/>
      <w:szCs w:val="28"/>
      <w:lang w:val="x-none" w:eastAsia="x-none"/>
    </w:rPr>
  </w:style>
  <w:style w:type="character" w:customStyle="1" w:styleId="Ttulo3Char">
    <w:name w:val="Título 3 Char"/>
    <w:basedOn w:val="Fontepargpadro"/>
    <w:link w:val="Ttulo3"/>
    <w:rsid w:val="00F91AA8"/>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semiHidden/>
    <w:rsid w:val="008035B6"/>
    <w:rPr>
      <w:rFonts w:ascii="Calibri" w:eastAsia="Times New Roman" w:hAnsi="Calibri" w:cs="Times New Roman"/>
      <w:b/>
      <w:bCs/>
      <w:sz w:val="28"/>
      <w:szCs w:val="28"/>
      <w:lang w:val="x-none"/>
    </w:rPr>
  </w:style>
  <w:style w:type="paragraph" w:styleId="Pr-formataoHTML">
    <w:name w:val="HTML Preformatted"/>
    <w:basedOn w:val="Normal"/>
    <w:link w:val="Pr-formataoHTMLChar"/>
    <w:uiPriority w:val="99"/>
    <w:semiHidden/>
    <w:unhideWhenUsed/>
    <w:rsid w:val="00803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8035B6"/>
    <w:rPr>
      <w:rFonts w:ascii="Courier New" w:eastAsia="Times New Roman" w:hAnsi="Courier New" w:cs="Courier New"/>
      <w:sz w:val="20"/>
      <w:szCs w:val="20"/>
      <w:lang w:eastAsia="pt-BR"/>
    </w:rPr>
  </w:style>
  <w:style w:type="paragraph" w:styleId="Textodenotaderodap">
    <w:name w:val="footnote text"/>
    <w:basedOn w:val="Normal"/>
    <w:link w:val="TextodenotaderodapChar"/>
    <w:unhideWhenUsed/>
    <w:rsid w:val="008035B6"/>
    <w:rPr>
      <w:sz w:val="20"/>
      <w:szCs w:val="20"/>
    </w:rPr>
  </w:style>
  <w:style w:type="character" w:customStyle="1" w:styleId="TextodenotaderodapChar">
    <w:name w:val="Texto de nota de rodapé Char"/>
    <w:basedOn w:val="Fontepargpadro"/>
    <w:link w:val="Textodenotaderodap"/>
    <w:rsid w:val="008035B6"/>
    <w:rPr>
      <w:rFonts w:ascii="Arial" w:eastAsia="Times New Roman" w:hAnsi="Arial" w:cs="Arial"/>
      <w:sz w:val="20"/>
      <w:szCs w:val="20"/>
      <w:lang w:eastAsia="pt-BR"/>
    </w:rPr>
  </w:style>
  <w:style w:type="paragraph" w:customStyle="1" w:styleId="Autora">
    <w:name w:val="Autoría"/>
    <w:basedOn w:val="Normal"/>
    <w:rsid w:val="008035B6"/>
    <w:pPr>
      <w:spacing w:before="240" w:after="240" w:line="276" w:lineRule="auto"/>
      <w:jc w:val="both"/>
    </w:pPr>
    <w:rPr>
      <w:rFonts w:cs="Times New Roman"/>
      <w:b/>
      <w:sz w:val="20"/>
      <w:szCs w:val="22"/>
      <w:lang w:val="es-ES" w:eastAsia="en-US"/>
    </w:rPr>
  </w:style>
  <w:style w:type="character" w:styleId="Refdenotaderodap">
    <w:name w:val="footnote reference"/>
    <w:basedOn w:val="Fontepargpadro"/>
    <w:semiHidden/>
    <w:unhideWhenUsed/>
    <w:rsid w:val="008035B6"/>
    <w:rPr>
      <w:vertAlign w:val="superscript"/>
    </w:rPr>
  </w:style>
  <w:style w:type="paragraph" w:styleId="Cabealho">
    <w:name w:val="header"/>
    <w:basedOn w:val="Normal"/>
    <w:link w:val="CabealhoChar"/>
    <w:uiPriority w:val="99"/>
    <w:unhideWhenUsed/>
    <w:rsid w:val="008035B6"/>
    <w:pPr>
      <w:tabs>
        <w:tab w:val="center" w:pos="4252"/>
        <w:tab w:val="right" w:pos="8504"/>
      </w:tabs>
    </w:pPr>
  </w:style>
  <w:style w:type="character" w:customStyle="1" w:styleId="CabealhoChar">
    <w:name w:val="Cabeçalho Char"/>
    <w:basedOn w:val="Fontepargpadro"/>
    <w:link w:val="Cabealho"/>
    <w:uiPriority w:val="99"/>
    <w:rsid w:val="008035B6"/>
    <w:rPr>
      <w:rFonts w:ascii="Arial" w:eastAsia="Times New Roman" w:hAnsi="Arial" w:cs="Arial"/>
      <w:sz w:val="24"/>
      <w:szCs w:val="24"/>
      <w:lang w:eastAsia="pt-BR"/>
    </w:rPr>
  </w:style>
  <w:style w:type="paragraph" w:styleId="Rodap">
    <w:name w:val="footer"/>
    <w:basedOn w:val="Normal"/>
    <w:link w:val="RodapChar"/>
    <w:uiPriority w:val="99"/>
    <w:unhideWhenUsed/>
    <w:rsid w:val="008035B6"/>
    <w:pPr>
      <w:tabs>
        <w:tab w:val="center" w:pos="4252"/>
        <w:tab w:val="right" w:pos="8504"/>
      </w:tabs>
    </w:pPr>
  </w:style>
  <w:style w:type="character" w:customStyle="1" w:styleId="RodapChar">
    <w:name w:val="Rodapé Char"/>
    <w:basedOn w:val="Fontepargpadro"/>
    <w:link w:val="Rodap"/>
    <w:uiPriority w:val="99"/>
    <w:rsid w:val="008035B6"/>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8035B6"/>
    <w:rPr>
      <w:rFonts w:ascii="Tahoma" w:hAnsi="Tahoma" w:cs="Tahoma"/>
      <w:sz w:val="16"/>
      <w:szCs w:val="16"/>
    </w:rPr>
  </w:style>
  <w:style w:type="character" w:customStyle="1" w:styleId="TextodebaloChar">
    <w:name w:val="Texto de balão Char"/>
    <w:basedOn w:val="Fontepargpadro"/>
    <w:link w:val="Textodebalo"/>
    <w:uiPriority w:val="99"/>
    <w:semiHidden/>
    <w:rsid w:val="008035B6"/>
    <w:rPr>
      <w:rFonts w:ascii="Tahoma" w:eastAsia="Times New Roman" w:hAnsi="Tahoma" w:cs="Tahoma"/>
      <w:sz w:val="16"/>
      <w:szCs w:val="16"/>
      <w:lang w:eastAsia="pt-BR"/>
    </w:rPr>
  </w:style>
  <w:style w:type="paragraph" w:customStyle="1" w:styleId="Referenciastexto">
    <w:name w:val="Referencias_texto"/>
    <w:basedOn w:val="Normal"/>
    <w:qFormat/>
    <w:rsid w:val="003A4EAC"/>
    <w:pPr>
      <w:spacing w:after="160" w:line="256" w:lineRule="auto"/>
      <w:ind w:left="227" w:hanging="227"/>
    </w:pPr>
    <w:rPr>
      <w:rFonts w:ascii="Times New Roman" w:eastAsiaTheme="minorHAnsi" w:hAnsi="Times New Roman" w:cstheme="minorBidi"/>
      <w:sz w:val="22"/>
      <w:szCs w:val="22"/>
      <w:lang w:val="es-ES" w:eastAsia="en-US"/>
    </w:rPr>
  </w:style>
  <w:style w:type="paragraph" w:customStyle="1" w:styleId="DE7B8801F2B1483F98D539CC92927118">
    <w:name w:val="DE7B8801F2B1483F98D539CC92927118"/>
    <w:rsid w:val="003A4EAC"/>
    <w:rPr>
      <w:rFonts w:eastAsiaTheme="minorEastAsia"/>
      <w:lang w:eastAsia="pt-BR"/>
    </w:rPr>
  </w:style>
  <w:style w:type="paragraph" w:customStyle="1" w:styleId="EixoeAgncia">
    <w:name w:val="Eixo e Agência"/>
    <w:basedOn w:val="Normal"/>
    <w:qFormat/>
    <w:rsid w:val="0093208E"/>
    <w:pPr>
      <w:jc w:val="right"/>
    </w:pPr>
    <w:rPr>
      <w:rFonts w:eastAsia="Calibri"/>
      <w:sz w:val="22"/>
      <w:szCs w:val="22"/>
      <w:lang w:eastAsia="en-US"/>
    </w:rPr>
  </w:style>
  <w:style w:type="paragraph" w:customStyle="1" w:styleId="TtulodeItem">
    <w:name w:val="Título de Item"/>
    <w:basedOn w:val="Normal"/>
    <w:qFormat/>
    <w:rsid w:val="0093208E"/>
    <w:rPr>
      <w:rFonts w:eastAsia="Calibri"/>
      <w:b/>
      <w:sz w:val="22"/>
      <w:lang w:eastAsia="en-US"/>
    </w:rPr>
  </w:style>
  <w:style w:type="character" w:customStyle="1" w:styleId="EstiloDescritoresChar">
    <w:name w:val="Estilo_Descritores Char"/>
    <w:link w:val="EstiloDescritores"/>
    <w:locked/>
    <w:rsid w:val="001045AA"/>
    <w:rPr>
      <w:rFonts w:ascii="Times New Roman" w:eastAsia="Times New Roman" w:hAnsi="Times New Roman" w:cs="Times New Roman"/>
      <w:sz w:val="24"/>
      <w:szCs w:val="24"/>
    </w:rPr>
  </w:style>
  <w:style w:type="paragraph" w:customStyle="1" w:styleId="EstiloDescritores">
    <w:name w:val="Estilo_Descritores"/>
    <w:basedOn w:val="Normal"/>
    <w:link w:val="EstiloDescritoresChar"/>
    <w:rsid w:val="001045AA"/>
    <w:rPr>
      <w:rFonts w:ascii="Times New Roman" w:hAnsi="Times New Roman" w:cs="Times New Roman"/>
      <w:lang w:eastAsia="en-US"/>
    </w:rPr>
  </w:style>
  <w:style w:type="character" w:customStyle="1" w:styleId="A4">
    <w:name w:val="A4"/>
    <w:rsid w:val="0094476E"/>
    <w:rPr>
      <w:color w:val="000000"/>
      <w:sz w:val="16"/>
      <w:szCs w:val="16"/>
    </w:rPr>
  </w:style>
  <w:style w:type="paragraph" w:styleId="Corpodetexto">
    <w:name w:val="Body Text"/>
    <w:basedOn w:val="Normal"/>
    <w:link w:val="CorpodetextoChar"/>
    <w:rsid w:val="00631A81"/>
    <w:pPr>
      <w:suppressAutoHyphens/>
    </w:pPr>
    <w:rPr>
      <w:rFonts w:ascii="Times New Roman" w:hAnsi="Times New Roman" w:cs="Times New Roman"/>
      <w:b/>
      <w:bCs/>
      <w:lang w:eastAsia="zh-CN"/>
    </w:rPr>
  </w:style>
  <w:style w:type="character" w:customStyle="1" w:styleId="CorpodetextoChar">
    <w:name w:val="Corpo de texto Char"/>
    <w:basedOn w:val="Fontepargpadro"/>
    <w:link w:val="Corpodetexto"/>
    <w:rsid w:val="00631A81"/>
    <w:rPr>
      <w:rFonts w:ascii="Times New Roman" w:eastAsia="Times New Roman" w:hAnsi="Times New Roman" w:cs="Times New Roman"/>
      <w:b/>
      <w:bCs/>
      <w:sz w:val="24"/>
      <w:szCs w:val="24"/>
      <w:lang w:eastAsia="zh-CN"/>
    </w:rPr>
  </w:style>
  <w:style w:type="paragraph" w:styleId="Recuodecorpodetexto">
    <w:name w:val="Body Text Indent"/>
    <w:basedOn w:val="Normal"/>
    <w:link w:val="RecuodecorpodetextoChar"/>
    <w:uiPriority w:val="99"/>
    <w:semiHidden/>
    <w:unhideWhenUsed/>
    <w:rsid w:val="00A359E6"/>
    <w:pPr>
      <w:spacing w:after="120"/>
      <w:ind w:left="283"/>
    </w:pPr>
  </w:style>
  <w:style w:type="character" w:customStyle="1" w:styleId="RecuodecorpodetextoChar">
    <w:name w:val="Recuo de corpo de texto Char"/>
    <w:basedOn w:val="Fontepargpadro"/>
    <w:link w:val="Recuodecorpodetexto"/>
    <w:uiPriority w:val="99"/>
    <w:semiHidden/>
    <w:rsid w:val="00A359E6"/>
    <w:rPr>
      <w:rFonts w:ascii="Arial" w:eastAsia="Times New Roman" w:hAnsi="Arial" w:cs="Arial"/>
      <w:sz w:val="24"/>
      <w:szCs w:val="24"/>
      <w:lang w:eastAsia="pt-BR"/>
    </w:rPr>
  </w:style>
  <w:style w:type="character" w:customStyle="1" w:styleId="Refdecomentrio1">
    <w:name w:val="Ref. de comentário1"/>
    <w:rsid w:val="00A359E6"/>
    <w:rPr>
      <w:sz w:val="16"/>
      <w:szCs w:val="16"/>
    </w:rPr>
  </w:style>
  <w:style w:type="character" w:customStyle="1" w:styleId="apple-converted-space">
    <w:name w:val="apple-converted-space"/>
    <w:rsid w:val="00A359E6"/>
  </w:style>
  <w:style w:type="character" w:customStyle="1" w:styleId="A5">
    <w:name w:val="A5"/>
    <w:rsid w:val="00A359E6"/>
    <w:rPr>
      <w:i/>
      <w:iCs/>
      <w:color w:val="000000"/>
      <w:sz w:val="15"/>
      <w:szCs w:val="15"/>
    </w:rPr>
  </w:style>
  <w:style w:type="character" w:styleId="Hyperlink">
    <w:name w:val="Hyperlink"/>
    <w:uiPriority w:val="99"/>
    <w:rsid w:val="00A359E6"/>
    <w:rPr>
      <w:color w:val="000080"/>
      <w:u w:val="single"/>
    </w:rPr>
  </w:style>
  <w:style w:type="paragraph" w:customStyle="1" w:styleId="Corpodetexto22">
    <w:name w:val="Corpo de texto 22"/>
    <w:basedOn w:val="Normal"/>
    <w:rsid w:val="00A359E6"/>
    <w:pPr>
      <w:suppressAutoHyphens/>
      <w:spacing w:line="360" w:lineRule="auto"/>
      <w:jc w:val="both"/>
    </w:pPr>
    <w:rPr>
      <w:rFonts w:ascii="Times New Roman" w:hAnsi="Times New Roman" w:cs="Times New Roman"/>
      <w:szCs w:val="20"/>
      <w:lang w:eastAsia="zh-CN"/>
    </w:rPr>
  </w:style>
  <w:style w:type="paragraph" w:styleId="NormalWeb">
    <w:name w:val="Normal (Web)"/>
    <w:basedOn w:val="Normal"/>
    <w:uiPriority w:val="99"/>
    <w:rsid w:val="00A359E6"/>
    <w:pPr>
      <w:suppressAutoHyphens/>
      <w:spacing w:before="280" w:after="280"/>
    </w:pPr>
    <w:rPr>
      <w:rFonts w:ascii="Arial Unicode MS" w:eastAsia="Arial Unicode MS" w:hAnsi="Arial Unicode MS" w:cs="Arial Unicode MS"/>
      <w:color w:val="000000"/>
      <w:lang w:eastAsia="zh-CN"/>
    </w:rPr>
  </w:style>
  <w:style w:type="paragraph" w:customStyle="1" w:styleId="Pa23">
    <w:name w:val="Pa23"/>
    <w:basedOn w:val="Normal"/>
    <w:next w:val="Normal"/>
    <w:rsid w:val="00A359E6"/>
    <w:pPr>
      <w:suppressAutoHyphens/>
      <w:spacing w:line="241" w:lineRule="atLeast"/>
    </w:pPr>
    <w:rPr>
      <w:rFonts w:ascii="Times New Roman" w:hAnsi="Times New Roman" w:cs="Times New Roman"/>
      <w:lang w:eastAsia="zh-CN"/>
    </w:rPr>
  </w:style>
  <w:style w:type="paragraph" w:customStyle="1" w:styleId="Pa13">
    <w:name w:val="Pa13"/>
    <w:basedOn w:val="Normal"/>
    <w:next w:val="Normal"/>
    <w:rsid w:val="00A359E6"/>
    <w:pPr>
      <w:suppressAutoHyphens/>
      <w:spacing w:line="241" w:lineRule="atLeast"/>
    </w:pPr>
    <w:rPr>
      <w:rFonts w:ascii="Times New Roman" w:hAnsi="Times New Roman" w:cs="Times New Roman"/>
      <w:lang w:eastAsia="zh-CN"/>
    </w:rPr>
  </w:style>
  <w:style w:type="paragraph" w:customStyle="1" w:styleId="PargrafodaLista1">
    <w:name w:val="Parágrafo da Lista1"/>
    <w:basedOn w:val="Normal"/>
    <w:rsid w:val="00A359E6"/>
    <w:pPr>
      <w:suppressAutoHyphens/>
      <w:spacing w:after="200"/>
      <w:ind w:left="720"/>
      <w:contextualSpacing/>
    </w:pPr>
    <w:rPr>
      <w:rFonts w:ascii="Times New Roman" w:hAnsi="Times New Roman" w:cs="Times New Roman"/>
      <w:lang w:eastAsia="zh-CN"/>
    </w:rPr>
  </w:style>
  <w:style w:type="paragraph" w:customStyle="1" w:styleId="Corpodetexto21">
    <w:name w:val="Corpo de texto 21"/>
    <w:basedOn w:val="Normal"/>
    <w:rsid w:val="00A359E6"/>
    <w:pPr>
      <w:suppressAutoHyphens/>
      <w:spacing w:line="360" w:lineRule="auto"/>
      <w:jc w:val="both"/>
    </w:pPr>
    <w:rPr>
      <w:rFonts w:ascii="Times New Roman" w:hAnsi="Times New Roman" w:cs="Times New Roman"/>
      <w:szCs w:val="20"/>
      <w:lang w:eastAsia="zh-CN"/>
    </w:rPr>
  </w:style>
  <w:style w:type="paragraph" w:customStyle="1" w:styleId="PN-PARAGRAFONORMAL">
    <w:name w:val="PN-PARAGRAFO NORMAL"/>
    <w:rsid w:val="00A359E6"/>
    <w:pPr>
      <w:widowControl w:val="0"/>
      <w:suppressAutoHyphens/>
      <w:spacing w:after="0" w:line="480" w:lineRule="exact"/>
      <w:ind w:firstLine="1009"/>
      <w:jc w:val="both"/>
    </w:pPr>
    <w:rPr>
      <w:rFonts w:ascii="Times New Roman" w:eastAsia="Times New Roman" w:hAnsi="Times New Roman" w:cs="Times New Roman"/>
      <w:sz w:val="26"/>
      <w:szCs w:val="20"/>
      <w:lang w:eastAsia="pt-BR" w:bidi="hi-IN"/>
    </w:rPr>
  </w:style>
  <w:style w:type="paragraph" w:customStyle="1" w:styleId="NormalJustificado">
    <w:name w:val="Normal + Justificado"/>
    <w:basedOn w:val="Normal"/>
    <w:rsid w:val="00A359E6"/>
    <w:pPr>
      <w:suppressAutoHyphens/>
      <w:jc w:val="both"/>
    </w:pPr>
    <w:rPr>
      <w:rFonts w:ascii="Times New Roman" w:hAnsi="Times New Roman" w:cs="Times New Roman"/>
      <w:lang w:eastAsia="zh-CN"/>
    </w:rPr>
  </w:style>
  <w:style w:type="table" w:styleId="Tabelacomgrade">
    <w:name w:val="Table Grid"/>
    <w:basedOn w:val="Tabelanormal"/>
    <w:uiPriority w:val="59"/>
    <w:rsid w:val="00880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8808DD"/>
    <w:rPr>
      <w:i/>
      <w:iCs/>
    </w:rPr>
  </w:style>
  <w:style w:type="paragraph" w:styleId="PargrafodaLista">
    <w:name w:val="List Paragraph"/>
    <w:basedOn w:val="Normal"/>
    <w:qFormat/>
    <w:rsid w:val="008808DD"/>
    <w:pPr>
      <w:spacing w:after="200" w:line="276" w:lineRule="auto"/>
      <w:ind w:left="720"/>
      <w:contextualSpacing/>
    </w:pPr>
    <w:rPr>
      <w:rFonts w:asciiTheme="minorHAnsi" w:eastAsiaTheme="minorHAnsi" w:hAnsiTheme="minorHAnsi" w:cstheme="minorBidi"/>
      <w:sz w:val="22"/>
      <w:szCs w:val="22"/>
      <w:lang w:eastAsia="en-US"/>
    </w:rPr>
  </w:style>
  <w:style w:type="character" w:styleId="Refdecomentrio">
    <w:name w:val="annotation reference"/>
    <w:basedOn w:val="Fontepargpadro"/>
    <w:uiPriority w:val="99"/>
    <w:semiHidden/>
    <w:unhideWhenUsed/>
    <w:rsid w:val="00BC4A6A"/>
    <w:rPr>
      <w:sz w:val="16"/>
      <w:szCs w:val="16"/>
    </w:rPr>
  </w:style>
  <w:style w:type="paragraph" w:styleId="Textodecomentrio">
    <w:name w:val="annotation text"/>
    <w:basedOn w:val="Normal"/>
    <w:link w:val="TextodecomentrioChar"/>
    <w:uiPriority w:val="99"/>
    <w:semiHidden/>
    <w:unhideWhenUsed/>
    <w:rsid w:val="00BC4A6A"/>
    <w:rPr>
      <w:sz w:val="20"/>
      <w:szCs w:val="20"/>
    </w:rPr>
  </w:style>
  <w:style w:type="character" w:customStyle="1" w:styleId="TextodecomentrioChar">
    <w:name w:val="Texto de comentário Char"/>
    <w:basedOn w:val="Fontepargpadro"/>
    <w:link w:val="Textodecomentrio"/>
    <w:uiPriority w:val="99"/>
    <w:semiHidden/>
    <w:rsid w:val="00BC4A6A"/>
    <w:rPr>
      <w:rFonts w:ascii="Arial" w:eastAsia="Times New Roman"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C4A6A"/>
    <w:rPr>
      <w:b/>
      <w:bCs/>
    </w:rPr>
  </w:style>
  <w:style w:type="character" w:customStyle="1" w:styleId="AssuntodocomentrioChar">
    <w:name w:val="Assunto do comentário Char"/>
    <w:basedOn w:val="TextodecomentrioChar"/>
    <w:link w:val="Assuntodocomentrio"/>
    <w:uiPriority w:val="99"/>
    <w:semiHidden/>
    <w:rsid w:val="00BC4A6A"/>
    <w:rPr>
      <w:rFonts w:ascii="Arial" w:eastAsia="Times New Roman" w:hAnsi="Arial" w:cs="Arial"/>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330247">
      <w:bodyDiv w:val="1"/>
      <w:marLeft w:val="0"/>
      <w:marRight w:val="0"/>
      <w:marTop w:val="0"/>
      <w:marBottom w:val="0"/>
      <w:divBdr>
        <w:top w:val="none" w:sz="0" w:space="0" w:color="auto"/>
        <w:left w:val="none" w:sz="0" w:space="0" w:color="auto"/>
        <w:bottom w:val="none" w:sz="0" w:space="0" w:color="auto"/>
        <w:right w:val="none" w:sz="0" w:space="0" w:color="auto"/>
      </w:divBdr>
    </w:div>
    <w:div w:id="444888443">
      <w:bodyDiv w:val="1"/>
      <w:marLeft w:val="0"/>
      <w:marRight w:val="0"/>
      <w:marTop w:val="0"/>
      <w:marBottom w:val="0"/>
      <w:divBdr>
        <w:top w:val="none" w:sz="0" w:space="0" w:color="auto"/>
        <w:left w:val="none" w:sz="0" w:space="0" w:color="auto"/>
        <w:bottom w:val="none" w:sz="0" w:space="0" w:color="auto"/>
        <w:right w:val="none" w:sz="0" w:space="0" w:color="auto"/>
      </w:divBdr>
    </w:div>
    <w:div w:id="1483623803">
      <w:bodyDiv w:val="1"/>
      <w:marLeft w:val="0"/>
      <w:marRight w:val="0"/>
      <w:marTop w:val="0"/>
      <w:marBottom w:val="0"/>
      <w:divBdr>
        <w:top w:val="none" w:sz="0" w:space="0" w:color="auto"/>
        <w:left w:val="none" w:sz="0" w:space="0" w:color="auto"/>
        <w:bottom w:val="none" w:sz="0" w:space="0" w:color="auto"/>
        <w:right w:val="none" w:sz="0" w:space="0" w:color="auto"/>
      </w:divBdr>
    </w:div>
    <w:div w:id="1516118685">
      <w:bodyDiv w:val="1"/>
      <w:marLeft w:val="0"/>
      <w:marRight w:val="0"/>
      <w:marTop w:val="0"/>
      <w:marBottom w:val="0"/>
      <w:divBdr>
        <w:top w:val="none" w:sz="0" w:space="0" w:color="auto"/>
        <w:left w:val="none" w:sz="0" w:space="0" w:color="auto"/>
        <w:bottom w:val="none" w:sz="0" w:space="0" w:color="auto"/>
        <w:right w:val="none" w:sz="0" w:space="0" w:color="auto"/>
      </w:divBdr>
    </w:div>
    <w:div w:id="1958751945">
      <w:bodyDiv w:val="1"/>
      <w:marLeft w:val="0"/>
      <w:marRight w:val="0"/>
      <w:marTop w:val="0"/>
      <w:marBottom w:val="0"/>
      <w:divBdr>
        <w:top w:val="none" w:sz="0" w:space="0" w:color="auto"/>
        <w:left w:val="none" w:sz="0" w:space="0" w:color="auto"/>
        <w:bottom w:val="none" w:sz="0" w:space="0" w:color="auto"/>
        <w:right w:val="none" w:sz="0" w:space="0" w:color="auto"/>
      </w:divBdr>
    </w:div>
    <w:div w:id="21432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efederal.mec.gov.br/instituicoes" TargetMode="External"/><Relationship Id="rId13" Type="http://schemas.openxmlformats.org/officeDocument/2006/relationships/hyperlink" Target="http://portal.mec.gov.br/index.php?option=com_content&amp;view=article&amp;id=14428&amp;Itemid=87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ff.br/trabalhonecessario" TargetMode="External"/><Relationship Id="rId17" Type="http://schemas.openxmlformats.org/officeDocument/2006/relationships/hyperlink" Target="http://portal.mec.gov.br/index.php?option=com_content&amp;view=article&amp;id=14428&amp;Itemid=874" TargetMode="External"/><Relationship Id="rId2" Type="http://schemas.openxmlformats.org/officeDocument/2006/relationships/numbering" Target="numbering.xml"/><Relationship Id="rId16" Type="http://schemas.openxmlformats.org/officeDocument/2006/relationships/hyperlink" Target="http://portal.mec.gov.br/index.php?option=com_content&amp;view=article&amp;id=14428&amp;Itemid=8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defederal.mec.gov.br/instituicoes" TargetMode="External"/><Relationship Id="rId5" Type="http://schemas.openxmlformats.org/officeDocument/2006/relationships/webSettings" Target="webSettings.xml"/><Relationship Id="rId15" Type="http://schemas.openxmlformats.org/officeDocument/2006/relationships/hyperlink" Target="http://portal.mec.gov.br/index.php?option=com_content&amp;view=article&amp;id=14428&amp;Itemid=874" TargetMode="External"/><Relationship Id="rId10" Type="http://schemas.openxmlformats.org/officeDocument/2006/relationships/hyperlink" Target="http://pde.mec.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mara.gov.br/sileg/Prop_Detalhe.asp?id=405479" TargetMode="External"/><Relationship Id="rId14" Type="http://schemas.openxmlformats.org/officeDocument/2006/relationships/hyperlink" Target="http://portal.mec.gov.br/index.php?option=com_content&amp;view=article&amp;id=14428&amp;Itemid=874" TargetMode="External"/></Relationships>
</file>

<file path=word/theme/theme1.xml><?xml version="1.0" encoding="utf-8"?>
<a:theme xmlns:a="http://schemas.openxmlformats.org/drawingml/2006/main" name="Tema do Office">
  <a:themeElements>
    <a:clrScheme name="Personalizada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E19FF"/>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22CF4-F1BE-452B-A3B6-C9739A7B0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5095</Words>
  <Characters>27513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IEDA</dc:creator>
  <cp:lastModifiedBy>Alboni Vieira</cp:lastModifiedBy>
  <cp:revision>2</cp:revision>
  <dcterms:created xsi:type="dcterms:W3CDTF">2017-08-13T14:02:00Z</dcterms:created>
  <dcterms:modified xsi:type="dcterms:W3CDTF">2017-08-13T14:02:00Z</dcterms:modified>
</cp:coreProperties>
</file>